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88" w:rsidRPr="00EC3469" w:rsidRDefault="00B86388">
      <w:pPr>
        <w:spacing w:after="0" w:line="260" w:lineRule="exact"/>
        <w:rPr>
          <w:rFonts w:ascii="Times New Roman" w:hAnsi="Times New Roman" w:cs="Times New Roman"/>
          <w:noProof/>
          <w:sz w:val="24"/>
          <w:szCs w:val="24"/>
        </w:rPr>
      </w:pPr>
    </w:p>
    <w:p w:rsidR="00B86388" w:rsidRPr="008D017E" w:rsidRDefault="00CF25F0" w:rsidP="00CF25F0">
      <w:pPr>
        <w:spacing w:after="0" w:line="386" w:lineRule="exact"/>
        <w:ind w:right="37"/>
        <w:jc w:val="center"/>
        <w:rPr>
          <w:rFonts w:ascii="Times New Roman" w:eastAsia="Calibri" w:hAnsi="Times New Roman" w:cs="Times New Roman"/>
          <w:noProof/>
          <w:sz w:val="24"/>
          <w:szCs w:val="24"/>
          <w:lang w:val="id-ID"/>
        </w:rPr>
      </w:pPr>
      <w:r w:rsidRPr="008D017E">
        <w:rPr>
          <w:rFonts w:ascii="Times New Roman" w:eastAsia="Calibri" w:hAnsi="Times New Roman" w:cs="Times New Roman"/>
          <w:b/>
          <w:bCs/>
          <w:noProof/>
          <w:spacing w:val="-2"/>
          <w:position w:val="1"/>
          <w:sz w:val="24"/>
          <w:szCs w:val="24"/>
          <w:lang w:val="id-ID"/>
        </w:rPr>
        <w:t>MENINGKATKAN KOMPETENSI PENDIDIK KLINIS PROFESI KESEHATAN MELALUI WEBINAR “EMPAT KETERAMPILAN DASAR PENDIDIK KLINIS”</w:t>
      </w:r>
    </w:p>
    <w:p w:rsidR="00B86388" w:rsidRPr="008D017E" w:rsidRDefault="00B86388">
      <w:pPr>
        <w:spacing w:before="9" w:after="0" w:line="150" w:lineRule="exact"/>
        <w:rPr>
          <w:rFonts w:ascii="Times New Roman" w:hAnsi="Times New Roman" w:cs="Times New Roman"/>
          <w:noProof/>
          <w:sz w:val="24"/>
          <w:szCs w:val="24"/>
          <w:lang w:val="id-ID"/>
        </w:rPr>
      </w:pPr>
    </w:p>
    <w:p w:rsidR="00B86388" w:rsidRPr="008D017E" w:rsidRDefault="00B86388">
      <w:pPr>
        <w:spacing w:after="0" w:line="200" w:lineRule="exact"/>
        <w:rPr>
          <w:rFonts w:ascii="Times New Roman" w:hAnsi="Times New Roman" w:cs="Times New Roman"/>
          <w:noProof/>
          <w:sz w:val="24"/>
          <w:szCs w:val="24"/>
          <w:lang w:val="id-ID"/>
        </w:rPr>
      </w:pPr>
    </w:p>
    <w:p w:rsidR="00B86388" w:rsidRPr="008D017E" w:rsidRDefault="00436ED4">
      <w:pPr>
        <w:spacing w:after="0" w:line="240" w:lineRule="auto"/>
        <w:ind w:left="1926" w:right="1516"/>
        <w:jc w:val="center"/>
        <w:rPr>
          <w:rFonts w:ascii="Times New Roman" w:eastAsia="Calibri" w:hAnsi="Times New Roman" w:cs="Times New Roman"/>
          <w:noProof/>
          <w:sz w:val="24"/>
          <w:szCs w:val="24"/>
          <w:lang w:val="id-ID"/>
        </w:rPr>
      </w:pPr>
      <w:r w:rsidRPr="008D017E">
        <w:rPr>
          <w:rFonts w:ascii="Times New Roman" w:eastAsia="Calibri" w:hAnsi="Times New Roman" w:cs="Times New Roman"/>
          <w:b/>
          <w:bCs/>
          <w:noProof/>
          <w:sz w:val="24"/>
          <w:szCs w:val="24"/>
          <w:lang w:val="id-ID"/>
        </w:rPr>
        <w:t>Dian Puspita Sari</w:t>
      </w:r>
      <w:r w:rsidRPr="008D017E">
        <w:rPr>
          <w:rFonts w:ascii="Times New Roman" w:eastAsia="Calibri" w:hAnsi="Times New Roman" w:cs="Times New Roman"/>
          <w:b/>
          <w:bCs/>
          <w:noProof/>
          <w:spacing w:val="-1"/>
          <w:position w:val="8"/>
          <w:sz w:val="24"/>
          <w:szCs w:val="24"/>
          <w:lang w:val="id-ID"/>
        </w:rPr>
        <w:t>*</w:t>
      </w:r>
      <w:r w:rsidR="00CC25AD" w:rsidRPr="008D017E">
        <w:rPr>
          <w:rFonts w:ascii="Times New Roman" w:eastAsia="Calibri" w:hAnsi="Times New Roman" w:cs="Times New Roman"/>
          <w:b/>
          <w:bCs/>
          <w:noProof/>
          <w:sz w:val="24"/>
          <w:szCs w:val="24"/>
          <w:lang w:val="id-ID"/>
        </w:rPr>
        <w:t>,</w:t>
      </w:r>
      <w:r w:rsidR="00CC25AD" w:rsidRPr="008D017E">
        <w:rPr>
          <w:rFonts w:ascii="Times New Roman" w:eastAsia="Calibri" w:hAnsi="Times New Roman" w:cs="Times New Roman"/>
          <w:b/>
          <w:bCs/>
          <w:noProof/>
          <w:spacing w:val="-5"/>
          <w:sz w:val="24"/>
          <w:szCs w:val="24"/>
          <w:lang w:val="id-ID"/>
        </w:rPr>
        <w:t xml:space="preserve"> </w:t>
      </w:r>
      <w:r w:rsidRPr="008D017E">
        <w:rPr>
          <w:rFonts w:ascii="Times New Roman" w:eastAsia="Calibri" w:hAnsi="Times New Roman" w:cs="Times New Roman"/>
          <w:b/>
          <w:bCs/>
          <w:noProof/>
          <w:sz w:val="24"/>
          <w:szCs w:val="24"/>
          <w:lang w:val="id-ID"/>
        </w:rPr>
        <w:t>Yoga Pamungkas Susani</w:t>
      </w:r>
      <w:r w:rsidR="00CC25AD" w:rsidRPr="008D017E">
        <w:rPr>
          <w:rFonts w:ascii="Times New Roman" w:eastAsia="Calibri" w:hAnsi="Times New Roman" w:cs="Times New Roman"/>
          <w:b/>
          <w:bCs/>
          <w:noProof/>
          <w:sz w:val="24"/>
          <w:szCs w:val="24"/>
          <w:lang w:val="id-ID"/>
        </w:rPr>
        <w:t>,</w:t>
      </w:r>
      <w:r w:rsidR="00CC25AD" w:rsidRPr="008D017E">
        <w:rPr>
          <w:rFonts w:ascii="Times New Roman" w:eastAsia="Calibri" w:hAnsi="Times New Roman" w:cs="Times New Roman"/>
          <w:b/>
          <w:bCs/>
          <w:noProof/>
          <w:spacing w:val="-6"/>
          <w:sz w:val="24"/>
          <w:szCs w:val="24"/>
          <w:lang w:val="id-ID"/>
        </w:rPr>
        <w:t xml:space="preserve"> </w:t>
      </w:r>
      <w:r w:rsidRPr="008D017E">
        <w:rPr>
          <w:rFonts w:ascii="Times New Roman" w:eastAsia="Calibri" w:hAnsi="Times New Roman" w:cs="Times New Roman"/>
          <w:b/>
          <w:bCs/>
          <w:noProof/>
          <w:spacing w:val="-1"/>
          <w:sz w:val="24"/>
          <w:szCs w:val="24"/>
          <w:lang w:val="id-ID"/>
        </w:rPr>
        <w:t>Mohammad Rizki, Emmy Amalia</w:t>
      </w:r>
    </w:p>
    <w:p w:rsidR="00B86388" w:rsidRPr="008D017E" w:rsidRDefault="00B86388">
      <w:pPr>
        <w:spacing w:before="3" w:after="0" w:line="240" w:lineRule="exact"/>
        <w:rPr>
          <w:rFonts w:ascii="Times New Roman" w:hAnsi="Times New Roman" w:cs="Times New Roman"/>
          <w:noProof/>
          <w:sz w:val="24"/>
          <w:szCs w:val="24"/>
          <w:lang w:val="id-ID"/>
        </w:rPr>
      </w:pPr>
    </w:p>
    <w:p w:rsidR="00B86388" w:rsidRPr="008D017E" w:rsidRDefault="00436ED4" w:rsidP="00436ED4">
      <w:pPr>
        <w:spacing w:after="0" w:line="240" w:lineRule="auto"/>
        <w:ind w:left="567" w:right="604"/>
        <w:jc w:val="center"/>
        <w:rPr>
          <w:rFonts w:ascii="Times New Roman" w:eastAsia="Calibri" w:hAnsi="Times New Roman" w:cs="Times New Roman"/>
          <w:i/>
          <w:noProof/>
          <w:sz w:val="24"/>
          <w:szCs w:val="24"/>
          <w:lang w:val="id-ID"/>
        </w:rPr>
      </w:pPr>
      <w:r w:rsidRPr="008D017E">
        <w:rPr>
          <w:rFonts w:ascii="Times New Roman" w:eastAsia="Calibri" w:hAnsi="Times New Roman" w:cs="Times New Roman"/>
          <w:bCs/>
          <w:i/>
          <w:noProof/>
          <w:spacing w:val="-1"/>
          <w:sz w:val="24"/>
          <w:szCs w:val="24"/>
          <w:lang w:val="id-ID"/>
        </w:rPr>
        <w:t>Program Studi Pendidikan Dokter, Fakultas Kedokteran Universitas Mataram</w:t>
      </w:r>
    </w:p>
    <w:p w:rsidR="00B86388" w:rsidRPr="008D017E" w:rsidRDefault="00B86388">
      <w:pPr>
        <w:spacing w:before="14" w:after="0" w:line="280" w:lineRule="exact"/>
        <w:rPr>
          <w:rFonts w:ascii="Times New Roman" w:hAnsi="Times New Roman" w:cs="Times New Roman"/>
          <w:i/>
          <w:noProof/>
          <w:sz w:val="24"/>
          <w:szCs w:val="24"/>
          <w:lang w:val="id-ID"/>
        </w:rPr>
      </w:pPr>
    </w:p>
    <w:p w:rsidR="00B86388" w:rsidRPr="008D017E" w:rsidRDefault="00EC3469" w:rsidP="008D017E">
      <w:pPr>
        <w:spacing w:after="0" w:line="360" w:lineRule="auto"/>
        <w:ind w:right="37"/>
        <w:jc w:val="center"/>
        <w:rPr>
          <w:rFonts w:ascii="Times New Roman" w:eastAsia="Calibri" w:hAnsi="Times New Roman" w:cs="Times New Roman"/>
          <w:i/>
          <w:noProof/>
          <w:sz w:val="24"/>
          <w:szCs w:val="24"/>
          <w:lang w:val="id-ID"/>
        </w:rPr>
      </w:pPr>
      <w:r>
        <w:rPr>
          <w:rFonts w:ascii="Times New Roman" w:eastAsia="Calibri" w:hAnsi="Times New Roman" w:cs="Times New Roman"/>
          <w:bCs/>
          <w:i/>
          <w:noProof/>
          <w:spacing w:val="-1"/>
          <w:sz w:val="24"/>
          <w:szCs w:val="24"/>
          <w:lang w:val="id-ID"/>
        </w:rPr>
        <w:t>Jalan Pendidikan N</w:t>
      </w:r>
      <w:r>
        <w:rPr>
          <w:rFonts w:ascii="Times New Roman" w:eastAsia="Calibri" w:hAnsi="Times New Roman" w:cs="Times New Roman"/>
          <w:bCs/>
          <w:i/>
          <w:noProof/>
          <w:spacing w:val="-1"/>
          <w:sz w:val="24"/>
          <w:szCs w:val="24"/>
        </w:rPr>
        <w:t>omor</w:t>
      </w:r>
      <w:r w:rsidR="00436ED4" w:rsidRPr="008D017E">
        <w:rPr>
          <w:rFonts w:ascii="Times New Roman" w:eastAsia="Calibri" w:hAnsi="Times New Roman" w:cs="Times New Roman"/>
          <w:bCs/>
          <w:i/>
          <w:noProof/>
          <w:spacing w:val="-1"/>
          <w:sz w:val="24"/>
          <w:szCs w:val="24"/>
          <w:lang w:val="id-ID"/>
        </w:rPr>
        <w:t xml:space="preserve"> 37 Mataram</w:t>
      </w:r>
    </w:p>
    <w:p w:rsidR="00B86388" w:rsidRPr="008D017E" w:rsidRDefault="00B86388">
      <w:pPr>
        <w:spacing w:before="1" w:after="0" w:line="240" w:lineRule="exact"/>
        <w:rPr>
          <w:rFonts w:ascii="Times New Roman" w:hAnsi="Times New Roman" w:cs="Times New Roman"/>
          <w:i/>
          <w:noProof/>
          <w:sz w:val="24"/>
          <w:szCs w:val="24"/>
          <w:lang w:val="id-ID"/>
        </w:rPr>
      </w:pPr>
    </w:p>
    <w:p w:rsidR="00B86388" w:rsidRDefault="001D38F6" w:rsidP="008D017E">
      <w:pPr>
        <w:spacing w:after="0" w:line="200" w:lineRule="exact"/>
        <w:jc w:val="center"/>
        <w:rPr>
          <w:rFonts w:ascii="Times New Roman" w:eastAsia="Calibri" w:hAnsi="Times New Roman" w:cs="Times New Roman"/>
          <w:bCs/>
          <w:i/>
          <w:noProof/>
          <w:spacing w:val="-1"/>
          <w:sz w:val="24"/>
          <w:szCs w:val="24"/>
        </w:rPr>
      </w:pPr>
      <w:r>
        <w:rPr>
          <w:rFonts w:ascii="Times New Roman" w:eastAsia="Calibri" w:hAnsi="Times New Roman" w:cs="Times New Roman"/>
          <w:bCs/>
          <w:i/>
          <w:noProof/>
          <w:spacing w:val="-1"/>
          <w:sz w:val="24"/>
          <w:szCs w:val="24"/>
        </w:rPr>
        <w:t>*</w:t>
      </w:r>
      <w:bookmarkStart w:id="0" w:name="_GoBack"/>
      <w:bookmarkEnd w:id="0"/>
      <w:r w:rsidR="008D017E" w:rsidRPr="008D017E">
        <w:rPr>
          <w:rFonts w:ascii="Times New Roman" w:eastAsia="Calibri" w:hAnsi="Times New Roman" w:cs="Times New Roman"/>
          <w:bCs/>
          <w:i/>
          <w:noProof/>
          <w:spacing w:val="-1"/>
          <w:sz w:val="24"/>
          <w:szCs w:val="24"/>
        </w:rPr>
        <w:t xml:space="preserve">Alamat Korespondensi : </w:t>
      </w:r>
      <w:hyperlink r:id="rId8" w:history="1">
        <w:r w:rsidR="008D017E" w:rsidRPr="00F373AB">
          <w:rPr>
            <w:rStyle w:val="Hyperlink"/>
            <w:rFonts w:ascii="Times New Roman" w:eastAsia="Calibri" w:hAnsi="Times New Roman" w:cs="Times New Roman"/>
            <w:bCs/>
            <w:i/>
            <w:noProof/>
            <w:spacing w:val="-1"/>
            <w:sz w:val="24"/>
            <w:szCs w:val="24"/>
          </w:rPr>
          <w:t>dianps@unram.ac.id</w:t>
        </w:r>
      </w:hyperlink>
    </w:p>
    <w:p w:rsidR="008D017E" w:rsidRPr="008D017E" w:rsidRDefault="008D017E" w:rsidP="008D017E">
      <w:pPr>
        <w:spacing w:after="0" w:line="200" w:lineRule="exact"/>
        <w:jc w:val="center"/>
        <w:rPr>
          <w:rFonts w:ascii="Times New Roman" w:hAnsi="Times New Roman" w:cs="Times New Roman"/>
          <w:i/>
          <w:noProof/>
          <w:sz w:val="24"/>
          <w:szCs w:val="24"/>
          <w:lang w:val="id-ID"/>
        </w:rPr>
      </w:pPr>
    </w:p>
    <w:p w:rsidR="00B86388" w:rsidRPr="008D017E" w:rsidRDefault="00B86388">
      <w:pPr>
        <w:spacing w:after="0" w:line="200" w:lineRule="exact"/>
        <w:rPr>
          <w:rFonts w:ascii="Times New Roman" w:hAnsi="Times New Roman" w:cs="Times New Roman"/>
          <w:noProof/>
          <w:sz w:val="24"/>
          <w:szCs w:val="24"/>
          <w:lang w:val="id-ID"/>
        </w:rPr>
      </w:pPr>
    </w:p>
    <w:p w:rsidR="00B86388" w:rsidRDefault="008D017E" w:rsidP="008D017E">
      <w:pPr>
        <w:spacing w:before="19" w:after="0" w:line="240" w:lineRule="exact"/>
        <w:jc w:val="center"/>
        <w:rPr>
          <w:rFonts w:ascii="Times New Roman" w:hAnsi="Times New Roman" w:cs="Times New Roman"/>
          <w:b/>
          <w:noProof/>
          <w:sz w:val="24"/>
          <w:szCs w:val="24"/>
        </w:rPr>
      </w:pPr>
      <w:r w:rsidRPr="008D017E">
        <w:rPr>
          <w:rFonts w:ascii="Times New Roman" w:hAnsi="Times New Roman" w:cs="Times New Roman"/>
          <w:b/>
          <w:noProof/>
          <w:sz w:val="24"/>
          <w:szCs w:val="24"/>
        </w:rPr>
        <w:t>ABSTRAK</w:t>
      </w:r>
    </w:p>
    <w:p w:rsidR="008D017E" w:rsidRPr="008D017E" w:rsidRDefault="008D017E" w:rsidP="008D017E">
      <w:pPr>
        <w:spacing w:before="19" w:after="0" w:line="240" w:lineRule="exact"/>
        <w:jc w:val="center"/>
        <w:rPr>
          <w:rFonts w:ascii="Times New Roman" w:hAnsi="Times New Roman" w:cs="Times New Roman"/>
          <w:b/>
          <w:noProof/>
          <w:sz w:val="24"/>
          <w:szCs w:val="24"/>
        </w:rPr>
      </w:pPr>
    </w:p>
    <w:p w:rsidR="00436ED4" w:rsidRPr="008D017E" w:rsidRDefault="00436ED4" w:rsidP="008D017E">
      <w:pPr>
        <w:jc w:val="both"/>
        <w:rPr>
          <w:rFonts w:ascii="Times New Roman" w:hAnsi="Times New Roman" w:cs="Times New Roman"/>
          <w:noProof/>
          <w:sz w:val="24"/>
          <w:szCs w:val="24"/>
          <w:lang w:val="id-ID"/>
        </w:rPr>
      </w:pPr>
      <w:r w:rsidRPr="008D017E">
        <w:rPr>
          <w:rFonts w:ascii="Times New Roman" w:hAnsi="Times New Roman" w:cs="Times New Roman"/>
          <w:noProof/>
          <w:sz w:val="24"/>
          <w:szCs w:val="24"/>
          <w:lang w:val="id-ID"/>
        </w:rPr>
        <w:t xml:space="preserve">Pendidikan klinis pada profesi dokter dan profesi kesehatan lainnya berlangsung di situasi pelayanan kesehatan otentik. Proses pendidikan yang berjalan paralel dengan pelayanan ini sulit diprediksi dan tidak selalu dapat berjalan sesuai rencana. Keterbatasan waktu, jenis kasus yang tersedia, tuntutan pelayanan dan keterbatasan lingkungan fisik untuk pembelajaran menjadi tantangan yang dihadapi para pendidik klinis. Untuk meningkatkan kualitas pembelajaran klinis, dokter dan profesi kesehatan yang terlibat perlu dibekali dengan kompetensi khusus sebagai pendidik klinis yang tidak didapatkan selama pendidikan mereka sebelumnya, ataupun dari pelatihan khusus untuk dosen seperti PEKERTI dan AA. Kegiatan pengabdian ini bertujuan untuk meningkatkan pengetahuan dokter dan tenaga kesehatan mengenai aspek-aspek mendasar dalam pendidikan klinis. Kegiatan ini dilaksanakan secara daring melalui webinar. Topik yang disampaikan mencakup empat keterampilan dasar bagi pendidik klinis yaitu: menyusun perencanaan,  komunikasi dan interaksi, penilaian, dan umpan balik. Dari 98 orang pendaftar, 62.4% adalah dokter, 15.3% bidan, 14.3% perawat, dan 8% tenaga kesehatan lainnya. Partisipan tidak hanya berasal dari institusi pendidikan di Provinsi NTB tetapi juga dari provinsi lainnya. Sebagian besar (75.5%) telah terlibat dalam pendidikan klinis, namun 57.14% belum pernah mengikuti pelatihan khusus. Enam puluh partisipan mengisi tautan presensi dan postes. Dari hasil pre dan postes didapatkan peningkatan rerata skor pengetahuan secara bermakna dari 4.46±2.39 menjadi 5.98±2.55 (p = 0.001, uji Wilcoxon). Seluruh partisipan yang mengisi postes tertarik untuk mengikuti pelatihan lanjutan. Partisipan juga berharap acara semacam ini dilaksanakan secara rutin dan diikuti dengan sesi praktik. </w:t>
      </w:r>
    </w:p>
    <w:p w:rsidR="00B86388" w:rsidRPr="00EC3469" w:rsidRDefault="00436ED4" w:rsidP="00EC3469">
      <w:pPr>
        <w:ind w:left="173"/>
        <w:jc w:val="both"/>
        <w:rPr>
          <w:rFonts w:ascii="Times New Roman" w:hAnsi="Times New Roman" w:cs="Times New Roman"/>
          <w:noProof/>
          <w:sz w:val="24"/>
          <w:szCs w:val="24"/>
        </w:rPr>
      </w:pPr>
      <w:r w:rsidRPr="008D017E">
        <w:rPr>
          <w:rFonts w:ascii="Times New Roman" w:hAnsi="Times New Roman" w:cs="Times New Roman"/>
          <w:b/>
          <w:noProof/>
          <w:sz w:val="24"/>
          <w:szCs w:val="24"/>
          <w:lang w:val="id-ID"/>
        </w:rPr>
        <w:t>Kata kunci:</w:t>
      </w:r>
      <w:r w:rsidRPr="008D017E">
        <w:rPr>
          <w:rFonts w:ascii="Times New Roman" w:hAnsi="Times New Roman" w:cs="Times New Roman"/>
          <w:noProof/>
          <w:sz w:val="24"/>
          <w:szCs w:val="24"/>
          <w:lang w:val="id-ID"/>
        </w:rPr>
        <w:t xml:space="preserve"> pendidikan klinis, pendidik klinis, pengembangan fakultas</w:t>
      </w:r>
    </w:p>
    <w:p w:rsidR="00EC3469" w:rsidRPr="00EC3469" w:rsidRDefault="008D017E" w:rsidP="00EC3469">
      <w:pPr>
        <w:jc w:val="center"/>
        <w:rPr>
          <w:rFonts w:ascii="Times New Roman" w:eastAsia="Calibri" w:hAnsi="Times New Roman" w:cs="Times New Roman"/>
          <w:b/>
          <w:noProof/>
          <w:spacing w:val="-1"/>
          <w:sz w:val="24"/>
          <w:szCs w:val="24"/>
          <w:lang w:val="id-ID"/>
        </w:rPr>
      </w:pPr>
      <w:r w:rsidRPr="00EC3469">
        <w:rPr>
          <w:rFonts w:ascii="Times New Roman" w:eastAsia="Calibri" w:hAnsi="Times New Roman" w:cs="Times New Roman"/>
          <w:b/>
          <w:noProof/>
          <w:color w:val="000000" w:themeColor="text1"/>
          <w:sz w:val="24"/>
          <w:szCs w:val="24"/>
        </w:rPr>
        <w:t>PENDAHULUAN</w:t>
      </w:r>
    </w:p>
    <w:p w:rsidR="00DA082B" w:rsidRPr="008D017E" w:rsidRDefault="00DA082B" w:rsidP="008D017E">
      <w:pPr>
        <w:ind w:firstLine="720"/>
        <w:jc w:val="both"/>
        <w:rPr>
          <w:rStyle w:val="e24kjd"/>
          <w:rFonts w:ascii="Times New Roman" w:hAnsi="Times New Roman" w:cs="Times New Roman"/>
          <w:noProof/>
          <w:sz w:val="24"/>
          <w:szCs w:val="24"/>
          <w:lang w:val="id-ID"/>
        </w:rPr>
      </w:pPr>
      <w:r w:rsidRPr="008D017E">
        <w:rPr>
          <w:rStyle w:val="e24kjd"/>
          <w:rFonts w:ascii="Times New Roman" w:hAnsi="Times New Roman" w:cs="Times New Roman"/>
          <w:noProof/>
          <w:sz w:val="24"/>
          <w:szCs w:val="24"/>
          <w:lang w:val="id-ID"/>
        </w:rPr>
        <w:t xml:space="preserve">Pendidikan dokter tahap profesi berlangsung di situasi layanan kesehatan seperti rumah sakit atau puskesmas. Fokus kegiatan belajar dan mengajar di </w:t>
      </w:r>
      <w:r w:rsidRPr="008D017E">
        <w:rPr>
          <w:rStyle w:val="e24kjd"/>
          <w:rFonts w:ascii="Times New Roman" w:hAnsi="Times New Roman" w:cs="Times New Roman"/>
          <w:i/>
          <w:noProof/>
          <w:sz w:val="24"/>
          <w:szCs w:val="24"/>
          <w:lang w:val="id-ID"/>
        </w:rPr>
        <w:t>setting</w:t>
      </w:r>
      <w:r w:rsidRPr="008D017E">
        <w:rPr>
          <w:rStyle w:val="e24kjd"/>
          <w:rFonts w:ascii="Times New Roman" w:hAnsi="Times New Roman" w:cs="Times New Roman"/>
          <w:noProof/>
          <w:sz w:val="24"/>
          <w:szCs w:val="24"/>
          <w:lang w:val="id-ID"/>
        </w:rPr>
        <w:t xml:space="preserve"> klinis ini adalah pasien dan masalah kesehatan yang dihadapinya. Situasi layanan kesehatan menjadi lingkungan belajar yang otentik bagi calon dokter karena mahasiswa mendapatkan </w:t>
      </w:r>
      <w:r w:rsidRPr="008D017E">
        <w:rPr>
          <w:rStyle w:val="e24kjd"/>
          <w:rFonts w:ascii="Times New Roman" w:hAnsi="Times New Roman" w:cs="Times New Roman"/>
          <w:noProof/>
          <w:sz w:val="24"/>
          <w:szCs w:val="24"/>
          <w:lang w:val="id-ID"/>
        </w:rPr>
        <w:lastRenderedPageBreak/>
        <w:t xml:space="preserve">kesempatan untuk mengaplikasikan pengetahuan dan keterampilan yang dipelajari sebelumnya dalam mendiagnosis dan memberikan tatalaksana kepada pasien di bawah bimbingan dan supervisi para dokter klinisi </w:t>
      </w:r>
      <w:r w:rsidRPr="008D017E">
        <w:rPr>
          <w:rStyle w:val="e24kjd"/>
          <w:rFonts w:ascii="Times New Roman" w:hAnsi="Times New Roman" w:cs="Times New Roman"/>
          <w:noProof/>
          <w:sz w:val="24"/>
          <w:szCs w:val="24"/>
          <w:lang w:val="id-ID"/>
        </w:rPr>
        <w:fldChar w:fldCharType="begin" w:fldLock="1"/>
      </w:r>
      <w:r w:rsidR="00D85EDF" w:rsidRPr="008D017E">
        <w:rPr>
          <w:rStyle w:val="e24kjd"/>
          <w:rFonts w:ascii="Times New Roman" w:hAnsi="Times New Roman" w:cs="Times New Roman"/>
          <w:noProof/>
          <w:sz w:val="24"/>
          <w:szCs w:val="24"/>
          <w:lang w:val="id-ID"/>
        </w:rPr>
        <w:instrText>ADDIN CSL_CITATION {"citationItems":[{"id":"ITEM-1","itemData":{"DOI":"10.1080/01421590802061613","ISBN":"1466-187X","ISSN":"0142159X","PMID":"18569655","abstract":"Teaching in the clinical environment is a demanding, complex and often frustrating task, a task many clinicians assume without adequate preparation or orientation. Twelve roles have previously been described for medical teachers, grouped into six major tasks: (1) the information provider; (2) the role model; (3) the facilitator; (4) the assessor; (5) the curriculum and course planner; and (6) the resource material creator (Harden &amp; Crosby 2000). It is clear that many of these roles require a teacher to be more than a medical expert. In a pure educational setting, teachers may have limited roles, but the clinical teacher often plays many roles simultaneously, switching from one role to another during the same encounter. The large majority of clinical teachers around the world have received rigorous training in medical knowledge and skills but little to none in teaching. As physicians become ever busier in their own clinical practice, being effective teachers becomes more challenging in the context of expanding clinical responsibilities and shrinking time for teaching (Prideaux et al. 2000). Clinicians on the frontline are often unaware of educational mandates from licensing and accreditation bodies as well as medical schools and postgraduate training programmes and this has major implications for staff training. Institutions need to provide necessary orientation and training for their clinical teachers. This Guide looks at the many challenges for teachers in the clinical environment, application of relevant educational theories to the clinical context and practical teaching tips for clinical teachers. This guide will concentrate on the hospital setting as teaching within the community is the subject of another AMEE guide.","author":[{"dropping-particle":"","family":"Ramani","given":"Subha","non-dropping-particle":"","parse-names":false,"suffix":""},{"dropping-particle":"","family":"Leinster","given":"Sam","non-dropping-particle":"","parse-names":false,"suffix":""}],"container-title":"Medical Teacher","id":"ITEM-1","issue":"4","issued":{"date-parts":[["2008"]]},"page":"347-364","title":"AMEE guide no. 34: Teaching in the clinical environment","type":"article-journal","volume":"30"},"uris":["http://www.mendeley.com/documents/?uuid=d85260dd-9c2d-4c0b-81df-59ceb0156107"]}],"mendeley":{"formattedCitation":"(Ramani and Leinster, 2008)","plainTextFormattedCitation":"(Ramani and Leinster, 2008)","previouslyFormattedCitation":"(Ramani and Leinster, 2008)"},"properties":{"noteIndex":0},"schema":"https://github.com/citation-style-language/schema/raw/master/csl-citation.json"}</w:instrText>
      </w:r>
      <w:r w:rsidRPr="008D017E">
        <w:rPr>
          <w:rStyle w:val="e24kjd"/>
          <w:rFonts w:ascii="Times New Roman" w:hAnsi="Times New Roman" w:cs="Times New Roman"/>
          <w:noProof/>
          <w:sz w:val="24"/>
          <w:szCs w:val="24"/>
          <w:lang w:val="id-ID"/>
        </w:rPr>
        <w:fldChar w:fldCharType="separate"/>
      </w:r>
      <w:r w:rsidR="00140C7F" w:rsidRPr="008D017E">
        <w:rPr>
          <w:rStyle w:val="e24kjd"/>
          <w:rFonts w:ascii="Times New Roman" w:hAnsi="Times New Roman" w:cs="Times New Roman"/>
          <w:noProof/>
          <w:sz w:val="24"/>
          <w:szCs w:val="24"/>
          <w:lang w:val="id-ID"/>
        </w:rPr>
        <w:t>(Ramani and Leinster, 2008)</w:t>
      </w:r>
      <w:r w:rsidRPr="008D017E">
        <w:rPr>
          <w:rStyle w:val="e24kjd"/>
          <w:rFonts w:ascii="Times New Roman" w:hAnsi="Times New Roman" w:cs="Times New Roman"/>
          <w:noProof/>
          <w:sz w:val="24"/>
          <w:szCs w:val="24"/>
          <w:lang w:val="id-ID"/>
        </w:rPr>
        <w:fldChar w:fldCharType="end"/>
      </w:r>
      <w:r w:rsidRPr="008D017E">
        <w:rPr>
          <w:rStyle w:val="e24kjd"/>
          <w:rFonts w:ascii="Times New Roman" w:hAnsi="Times New Roman" w:cs="Times New Roman"/>
          <w:noProof/>
          <w:sz w:val="24"/>
          <w:szCs w:val="24"/>
          <w:lang w:val="id-ID"/>
        </w:rPr>
        <w:t>. Oleh karena itu, dokter klinisi di suatu fasilitas layanan kesehatan yang juga menjadi tempat pelaksanaan pembelajaran klinis tidak hanya bertanggung jawab dalam pelayanan pasien, tetapi juga untuk mendidik calon dokter.</w:t>
      </w:r>
    </w:p>
    <w:p w:rsidR="00DA082B" w:rsidRPr="008D017E" w:rsidRDefault="008C412D" w:rsidP="00EC3469">
      <w:pPr>
        <w:ind w:firstLine="720"/>
        <w:jc w:val="both"/>
        <w:rPr>
          <w:rStyle w:val="e24kjd"/>
          <w:rFonts w:ascii="Times New Roman" w:hAnsi="Times New Roman" w:cs="Times New Roman"/>
          <w:noProof/>
          <w:sz w:val="24"/>
          <w:szCs w:val="24"/>
        </w:rPr>
      </w:pPr>
      <w:r w:rsidRPr="008D017E">
        <w:rPr>
          <w:rStyle w:val="e24kjd"/>
          <w:rFonts w:ascii="Times New Roman" w:hAnsi="Times New Roman" w:cs="Times New Roman"/>
          <w:noProof/>
          <w:sz w:val="24"/>
          <w:szCs w:val="24"/>
        </w:rPr>
        <w:t>P</w:t>
      </w:r>
      <w:r w:rsidR="00E20609" w:rsidRPr="008D017E">
        <w:rPr>
          <w:rStyle w:val="e24kjd"/>
          <w:rFonts w:ascii="Times New Roman" w:hAnsi="Times New Roman" w:cs="Times New Roman"/>
          <w:noProof/>
          <w:sz w:val="24"/>
          <w:szCs w:val="24"/>
        </w:rPr>
        <w:t xml:space="preserve">embelajaran klinis berlangsung dalam dua rentang spektrum yang saling berpotongan: </w:t>
      </w:r>
      <w:r w:rsidR="00AF1DE3" w:rsidRPr="008D017E">
        <w:rPr>
          <w:rStyle w:val="e24kjd"/>
          <w:rFonts w:ascii="Times New Roman" w:hAnsi="Times New Roman" w:cs="Times New Roman"/>
          <w:noProof/>
          <w:sz w:val="24"/>
          <w:szCs w:val="24"/>
        </w:rPr>
        <w:t xml:space="preserve">pembelajaran yang </w:t>
      </w:r>
      <w:r w:rsidR="00E20609" w:rsidRPr="008D017E">
        <w:rPr>
          <w:rStyle w:val="e24kjd"/>
          <w:rFonts w:ascii="Times New Roman" w:hAnsi="Times New Roman" w:cs="Times New Roman"/>
          <w:noProof/>
          <w:sz w:val="24"/>
          <w:szCs w:val="24"/>
        </w:rPr>
        <w:t xml:space="preserve">terencana dan oportunistik, serta </w:t>
      </w:r>
      <w:r w:rsidRPr="008D017E">
        <w:rPr>
          <w:rStyle w:val="e24kjd"/>
          <w:rFonts w:ascii="Times New Roman" w:hAnsi="Times New Roman" w:cs="Times New Roman"/>
          <w:noProof/>
          <w:sz w:val="24"/>
          <w:szCs w:val="24"/>
        </w:rPr>
        <w:t xml:space="preserve">pembelajaran </w:t>
      </w:r>
      <w:r w:rsidR="00E20609" w:rsidRPr="008D017E">
        <w:rPr>
          <w:rStyle w:val="e24kjd"/>
          <w:rFonts w:ascii="Times New Roman" w:hAnsi="Times New Roman" w:cs="Times New Roman"/>
          <w:noProof/>
          <w:sz w:val="24"/>
          <w:szCs w:val="24"/>
        </w:rPr>
        <w:t xml:space="preserve">formal dan informal </w:t>
      </w:r>
      <w:r w:rsidR="00E20609" w:rsidRPr="008D017E">
        <w:rPr>
          <w:rStyle w:val="e24kjd"/>
          <w:rFonts w:ascii="Times New Roman" w:hAnsi="Times New Roman" w:cs="Times New Roman"/>
          <w:noProof/>
          <w:sz w:val="24"/>
          <w:szCs w:val="24"/>
        </w:rPr>
        <w:fldChar w:fldCharType="begin" w:fldLock="1"/>
      </w:r>
      <w:r w:rsidRPr="008D017E">
        <w:rPr>
          <w:rStyle w:val="e24kjd"/>
          <w:rFonts w:ascii="Times New Roman" w:hAnsi="Times New Roman" w:cs="Times New Roman"/>
          <w:noProof/>
          <w:sz w:val="24"/>
          <w:szCs w:val="24"/>
        </w:rPr>
        <w:instrText>ADDIN CSL_CITATION {"citationItems":[{"id":"ITEM-1","itemData":{"DOI":"10.1080/0142159X.2017.1360473","ISSN":"1466187X","abstract":"Background: Clinical teaching lies at the heart of medical education. However, few studies have explored the embedded nature of teaching and clinical care. The goal of this study was to examine the process of clinical teaching as it naturally, and spontaneously, unfolds in a broad range of authentic contexts with medical students and residents. Methods: This focused ethnographic study consisted of 160 hours of participant observation and field interviews with three internal medicine teams. Thematic analysis guided data organization and interpretation. Findings: Three overlapping themes emerged: the interconnectedness between clinical work and pedagogy; a multiplicity of teachers; and the influence of space and artifacts on teaching and learning. Clinical teaching, which was deeply embedded in clinical care, was influenced by the acuity of patient problems, learner needs, and the context in which teaching unfolded; it also occurred on a spectrum that included planned, opportunistic, formal, and informal teaching (and learning). Conclusions: Study findings suggest that clinical teaching, which is marked by an intersection between service and teaching, can be viewed as an example of work-based teaching. They also yield suggestions for the enhancement of clinical teaching in inpatient settings, faculty development, and educational policies that recognize clinical teaching and learning.","author":[{"dropping-particle":"","family":"Steinert","given":"Yvonne","non-dropping-particle":"","parse-names":false,"suffix":""},{"dropping-particle":"","family":"Basi","given":"Mandeep","non-dropping-particle":"","parse-names":false,"suffix":""},{"dropping-particle":"","family":"Nugus","given":"Peter","non-dropping-particle":"","parse-names":false,"suffix":""}],"container-title":"Medical Teacher","id":"ITEM-1","issue":"12","issued":{"date-parts":[["2017"]]},"note":"Pendidikan klinik atau supervisi klinik yang efektif sangat penting untuk memastikan pelayanan pasien dan pembelajaran mahasiswa yang berkualitas. Namun demikian, pada prakteknya supervisi klinis sangat sulit diterapkan dan penelitian melaporkan bahwa pendidikan klinis bersifat multifaset, spontan baik terencana maupun tidak, berlangsung di situasi alamiah pelayanan kesehatan dan melibatkan berbagai aktivitas dan spesialisasi . \nPelayanan pasien merupakan prioritas yang menentukan ritme dan alur kerja pelayanan dan pendidikan. Pelayanan dan pendidikan saling melengkapi dan dibangun di atas satu sama lain. Keduanya memiliki satu tujuan, memberikan layanan pasien yang aman dan berkualitas, sekaligus mendidik calon dokter di masa depan. \nPelayanan klinis dan pendidikan klinis saling terkait satu sama lain. Keduanya sama-sama berlangsung dalam kegiatan rutin sehari-hari dan tidak ada batas yang jelas antara keduanya. Sesi pembelajaran sering berlangsung tanpa terencana pada saat supervisor dan trainee berinteraksi untuk perawatan pasien. Ritme kerja di suatu unit, kebutuhan pasien, kejelasan masalah klinis pasien, dan kebutuhan pembelajar membentuk karakteristik suatu pembelajaran klinis. Pembelajaran klinis juga bersifat sangat dinamis, fokus dan prioritas dapat berubah dengan cepat sesuai dengan sifat masalah pasien, kebutuhan pembelajar dan waktu yang tersedia (Steinert, Basi and Nugus, 2017) \nPembelajaran juga berlangsung melalui sesi tanya jawab spontan. Supervisor klinis mengajukan variasi pertanyaan dengan tujuan pedagogik, pelayanan klinis hingga supervisi. Pertanyaan yang diajukan antara lain bertujuan untuk menggali informasi faktual tentang pasien, menguji kemampuan mahasiswa dan mendorong kolaborasi dalam tim. \nPembelajaran klinis merupakan pembelajaran berbasis lingkungan kerja (work-based learning), dimana tugas pekerjaan merupakan katalis bagi pembelajaran dan pembelajaran dicirikan sebagai observasi, partisipasi dan bimbingan ahli yang didapatkan di lingkungan kerja otentik (Billet 1994, 2004 in (Steinert, Basi and Nugus, 2017). Pembelajaran yang terjadi bersifat spontan, oportunistik, baik terencana maupun tidak, kompleks dan tertanam erat di situasi layanan klinis. Work-based learning adalah suatu bentuk situated learning yang terdiri dari terdiri dari pengaruh kognitif, interaksional, dan lingkungan (Lave and Wenger, 1991 dalam(Steinert, Basi and Nugus, 2017)","page":"1238-1244","publisher":"Informa UK Ltd.","title":"How physicians teach in the clinical setting: The embedded roles of teaching and clinical care","type":"article-journal","volume":"39"},"uris":["http://www.mendeley.com/documents/?uuid=a77e709d-d5dd-446e-b3dd-298a68c9bfab"]}],"mendeley":{"formattedCitation":"(Steinert, Basi and Nugus, 2017)","plainTextFormattedCitation":"(Steinert, Basi and Nugus, 2017)","previouslyFormattedCitation":"(Steinert, Basi and Nugus, 2017)"},"properties":{"noteIndex":0},"schema":"https://github.com/citation-style-language/schema/raw/master/csl-citation.json"}</w:instrText>
      </w:r>
      <w:r w:rsidR="00E20609" w:rsidRPr="008D017E">
        <w:rPr>
          <w:rStyle w:val="e24kjd"/>
          <w:rFonts w:ascii="Times New Roman" w:hAnsi="Times New Roman" w:cs="Times New Roman"/>
          <w:noProof/>
          <w:sz w:val="24"/>
          <w:szCs w:val="24"/>
        </w:rPr>
        <w:fldChar w:fldCharType="separate"/>
      </w:r>
      <w:r w:rsidR="00E20609" w:rsidRPr="008D017E">
        <w:rPr>
          <w:rStyle w:val="e24kjd"/>
          <w:rFonts w:ascii="Times New Roman" w:hAnsi="Times New Roman" w:cs="Times New Roman"/>
          <w:noProof/>
          <w:sz w:val="24"/>
          <w:szCs w:val="24"/>
        </w:rPr>
        <w:t>(Steinert, Basi and Nugus, 2017)</w:t>
      </w:r>
      <w:r w:rsidR="00E20609" w:rsidRPr="008D017E">
        <w:rPr>
          <w:rStyle w:val="e24kjd"/>
          <w:rFonts w:ascii="Times New Roman" w:hAnsi="Times New Roman" w:cs="Times New Roman"/>
          <w:noProof/>
          <w:sz w:val="24"/>
          <w:szCs w:val="24"/>
        </w:rPr>
        <w:fldChar w:fldCharType="end"/>
      </w:r>
      <w:r w:rsidR="00E20609" w:rsidRPr="008D017E">
        <w:rPr>
          <w:rStyle w:val="e24kjd"/>
          <w:rFonts w:ascii="Times New Roman" w:hAnsi="Times New Roman" w:cs="Times New Roman"/>
          <w:noProof/>
          <w:sz w:val="24"/>
          <w:szCs w:val="24"/>
        </w:rPr>
        <w:t xml:space="preserve">. </w:t>
      </w:r>
      <w:r w:rsidR="00DA082B" w:rsidRPr="008D017E">
        <w:rPr>
          <w:rStyle w:val="e24kjd"/>
          <w:rFonts w:ascii="Times New Roman" w:hAnsi="Times New Roman" w:cs="Times New Roman"/>
          <w:noProof/>
          <w:sz w:val="24"/>
          <w:szCs w:val="24"/>
          <w:lang w:val="id-ID"/>
        </w:rPr>
        <w:t xml:space="preserve">Berbeda dari melaksanakan pengajaran di kelas, pengajaran di lingkungan </w:t>
      </w:r>
      <w:r w:rsidR="00E20609" w:rsidRPr="008D017E">
        <w:rPr>
          <w:rStyle w:val="e24kjd"/>
          <w:rFonts w:ascii="Times New Roman" w:hAnsi="Times New Roman" w:cs="Times New Roman"/>
          <w:noProof/>
          <w:sz w:val="24"/>
          <w:szCs w:val="24"/>
        </w:rPr>
        <w:t xml:space="preserve">pelayanan </w:t>
      </w:r>
      <w:r w:rsidR="00DA082B" w:rsidRPr="008D017E">
        <w:rPr>
          <w:rStyle w:val="e24kjd"/>
          <w:rFonts w:ascii="Times New Roman" w:hAnsi="Times New Roman" w:cs="Times New Roman"/>
          <w:noProof/>
          <w:sz w:val="24"/>
          <w:szCs w:val="24"/>
          <w:lang w:val="id-ID"/>
        </w:rPr>
        <w:t>klinis melibatkan diskusi serta pengambilan keputusan yang terjadi secara bersamaan dengan pelayanan pasien sehingga seringkali sulit diprediksi dan dipersiapkan</w:t>
      </w:r>
      <w:r w:rsidRPr="008D017E">
        <w:rPr>
          <w:rStyle w:val="e24kjd"/>
          <w:rFonts w:ascii="Times New Roman" w:hAnsi="Times New Roman" w:cs="Times New Roman"/>
          <w:noProof/>
          <w:sz w:val="24"/>
          <w:szCs w:val="24"/>
        </w:rPr>
        <w:t xml:space="preserve"> </w:t>
      </w:r>
      <w:r w:rsidRPr="008D017E">
        <w:rPr>
          <w:rStyle w:val="e24kjd"/>
          <w:rFonts w:ascii="Times New Roman" w:hAnsi="Times New Roman" w:cs="Times New Roman"/>
          <w:noProof/>
          <w:sz w:val="24"/>
          <w:szCs w:val="24"/>
        </w:rPr>
        <w:fldChar w:fldCharType="begin" w:fldLock="1"/>
      </w:r>
      <w:r w:rsidRPr="008D017E">
        <w:rPr>
          <w:rStyle w:val="e24kjd"/>
          <w:rFonts w:ascii="Times New Roman" w:hAnsi="Times New Roman" w:cs="Times New Roman"/>
          <w:noProof/>
          <w:sz w:val="24"/>
          <w:szCs w:val="24"/>
        </w:rPr>
        <w:instrText>ADDIN CSL_CITATION {"citationItems":[{"id":"ITEM-1","itemData":{"author":[{"dropping-particle":"","family":"Spencer","given":"John","non-dropping-particle":"","parse-names":false,"suffix":""}],"chapter-number":"8","container-title":"ABC of learning and teaching in medicine","editor":[{"dropping-particle":"","family":"Cantillon","given":"Peter","non-dropping-particle":"","parse-names":false,"suffix":""},{"dropping-particle":"","family":"Hutchinson","given":"Linda","non-dropping-particle":"","parse-names":false,"suffix":""},{"dropping-particle":"","family":"Wood","given":"Diana","non-dropping-particle":"","parse-names":false,"suffix":""}],"id":"ITEM-1","issued":{"date-parts":[["2003"]]},"page":"25-28","publisher":"BMJ Publishing Group","publisher-place":"London","title":"Learning and teaching in clinical environment","type":"chapter"},"uris":["http://www.mendeley.com/documents/?uuid=ba34282b-aa95-4862-a8cf-4707c78f8690"]},{"id":"ITEM-2","itemData":{"DOI":"10.1080/01421590802061613","ISBN":"1466-187X","ISSN":"0142159X","PMID":"18569655","abstract":"Teaching in the clinical environment is a demanding, complex and often frustrating task, a task many clinicians assume without adequate preparation or orientation. Twelve roles have previously been described for medical teachers, grouped into six major tasks: (1) the information provider; (2) the role model; (3) the facilitator; (4) the assessor; (5) the curriculum and course planner; and (6) the resource material creator (Harden &amp; Crosby 2000). It is clear that many of these roles require a teacher to be more than a medical expert. In a pure educational setting, teachers may have limited roles, but the clinical teacher often plays many roles simultaneously, switching from one role to another during the same encounter. The large majority of clinical teachers around the world have received rigorous training in medical knowledge and skills but little to none in teaching. As physicians become ever busier in their own clinical practice, being effective teachers becomes more challenging in the context of expanding clinical responsibilities and shrinking time for teaching (Prideaux et al. 2000). Clinicians on the frontline are often unaware of educational mandates from licensing and accreditation bodies as well as medical schools and postgraduate training programmes and this has major implications for staff training. Institutions need to provide necessary orientation and training for their clinical teachers. This Guide looks at the many challenges for teachers in the clinical environment, application of relevant educational theories to the clinical context and practical teaching tips for clinical teachers. This guide will concentrate on the hospital setting as teaching within the community is the subject of another AMEE guide.","author":[{"dropping-particle":"","family":"Ramani","given":"Subha","non-dropping-particle":"","parse-names":false,"suffix":""},{"dropping-particle":"","family":"Leinster","given":"Sam","non-dropping-particle":"","parse-names":false,"suffix":""}],"container-title":"Medical Teacher","id":"ITEM-2","issue":"4","issued":{"date-parts":[["2008"]]},"page":"347-364","title":"AMEE guide no. 34: Teaching in the clinical environment","type":"article-journal","volume":"30"},"uris":["http://www.mendeley.com/documents/?uuid=d85260dd-9c2d-4c0b-81df-59ceb0156107"]},{"id":"ITEM-3","itemData":{"DOI":"10.1080/0142159X.2017.1360473","ISSN":"1466187X","abstract":"Background: Clinical teaching lies at the heart of medical education. However, few studies have explored the embedded nature of teaching and clinical care. The goal of this study was to examine the process of clinical teaching as it naturally, and spontaneously, unfolds in a broad range of authentic contexts with medical students and residents. Methods: This focused ethnographic study consisted of 160 hours of participant observation and field interviews with three internal medicine teams. Thematic analysis guided data organization and interpretation. Findings: Three overlapping themes emerged: the interconnectedness between clinical work and pedagogy; a multiplicity of teachers; and the influence of space and artifacts on teaching and learning. Clinical teaching, which was deeply embedded in clinical care, was influenced by the acuity of patient problems, learner needs, and the context in which teaching unfolded; it also occurred on a spectrum that included planned, opportunistic, formal, and informal teaching (and learning). Conclusions: Study findings suggest that clinical teaching, which is marked by an intersection between service and teaching, can be viewed as an example of work-based teaching. They also yield suggestions for the enhancement of clinical teaching in inpatient settings, faculty development, and educational policies that recognize clinical teaching and learning.","author":[{"dropping-particle":"","family":"Steinert","given":"Yvonne","non-dropping-particle":"","parse-names":false,"suffix":""},{"dropping-particle":"","family":"Basi","given":"Mandeep","non-dropping-particle":"","parse-names":false,"suffix":""},{"dropping-particle":"","family":"Nugus","given":"Peter","non-dropping-particle":"","parse-names":false,"suffix":""}],"container-title":"Medical Teacher","id":"ITEM-3","issue":"12","issued":{"date-parts":[["2017"]]},"note":"Pendidikan klinik atau supervisi klinik yang efektif sangat penting untuk memastikan pelayanan pasien dan pembelajaran mahasiswa yang berkualitas. Namun demikian, pada prakteknya supervisi klinis sangat sulit diterapkan dan penelitian melaporkan bahwa pendidikan klinis bersifat multifaset, spontan baik terencana maupun tidak, berlangsung di situasi alamiah pelayanan kesehatan dan melibatkan berbagai aktivitas dan spesialisasi . \nPelayanan pasien merupakan prioritas yang menentukan ritme dan alur kerja pelayanan dan pendidikan. Pelayanan dan pendidikan saling melengkapi dan dibangun di atas satu sama lain. Keduanya memiliki satu tujuan, memberikan layanan pasien yang aman dan berkualitas, sekaligus mendidik calon dokter di masa depan. \nPelayanan klinis dan pendidikan klinis saling terkait satu sama lain. Keduanya sama-sama berlangsung dalam kegiatan rutin sehari-hari dan tidak ada batas yang jelas antara keduanya. Sesi pembelajaran sering berlangsung tanpa terencana pada saat supervisor dan trainee berinteraksi untuk perawatan pasien. Ritme kerja di suatu unit, kebutuhan pasien, kejelasan masalah klinis pasien, dan kebutuhan pembelajar membentuk karakteristik suatu pembelajaran klinis. Pembelajaran klinis juga bersifat sangat dinamis, fokus dan prioritas dapat berubah dengan cepat sesuai dengan sifat masalah pasien, kebutuhan pembelajar dan waktu yang tersedia (Steinert, Basi and Nugus, 2017) \nPembelajaran juga berlangsung melalui sesi tanya jawab spontan. Supervisor klinis mengajukan variasi pertanyaan dengan tujuan pedagogik, pelayanan klinis hingga supervisi. Pertanyaan yang diajukan antara lain bertujuan untuk menggali informasi faktual tentang pasien, menguji kemampuan mahasiswa dan mendorong kolaborasi dalam tim. \nPembelajaran klinis merupakan pembelajaran berbasis lingkungan kerja (work-based learning), dimana tugas pekerjaan merupakan katalis bagi pembelajaran dan pembelajaran dicirikan sebagai observasi, partisipasi dan bimbingan ahli yang didapatkan di lingkungan kerja otentik (Billet 1994, 2004 in (Steinert, Basi and Nugus, 2017). Pembelajaran yang terjadi bersifat spontan, oportunistik, baik terencana maupun tidak, kompleks dan tertanam erat di situasi layanan klinis. Work-based learning adalah suatu bentuk situated learning yang terdiri dari terdiri dari pengaruh kognitif, interaksional, dan lingkungan (Lave and Wenger, 1991 dalam(Steinert, Basi and Nugus, 2017)","page":"1238-1244","publisher":"Informa UK Ltd.","title":"How physicians teach in the clinical setting: The embedded roles of teaching and clinical care","type":"article-journal","volume":"39"},"uris":["http://www.mendeley.com/documents/?uuid=a77e709d-d5dd-446e-b3dd-298a68c9bfab"]}],"mendeley":{"formattedCitation":"(Spencer, 2003; Ramani and Leinster, 2008; Steinert, Basi and Nugus, 2017)","plainTextFormattedCitation":"(Spencer, 2003; Ramani and Leinster, 2008; Steinert, Basi and Nugus, 2017)","previouslyFormattedCitation":"(Spencer, 2003; Ramani and Leinster, 2008; Steinert, Basi and Nugus, 2017)"},"properties":{"noteIndex":0},"schema":"https://github.com/citation-style-language/schema/raw/master/csl-citation.json"}</w:instrText>
      </w:r>
      <w:r w:rsidRPr="008D017E">
        <w:rPr>
          <w:rStyle w:val="e24kjd"/>
          <w:rFonts w:ascii="Times New Roman" w:hAnsi="Times New Roman" w:cs="Times New Roman"/>
          <w:noProof/>
          <w:sz w:val="24"/>
          <w:szCs w:val="24"/>
        </w:rPr>
        <w:fldChar w:fldCharType="separate"/>
      </w:r>
      <w:r w:rsidRPr="008D017E">
        <w:rPr>
          <w:rStyle w:val="e24kjd"/>
          <w:rFonts w:ascii="Times New Roman" w:hAnsi="Times New Roman" w:cs="Times New Roman"/>
          <w:noProof/>
          <w:sz w:val="24"/>
          <w:szCs w:val="24"/>
        </w:rPr>
        <w:t>(Spencer, 2003; Ramani and Leinster, 2008; Steinert, Basi and Nugus, 2017)</w:t>
      </w:r>
      <w:r w:rsidRPr="008D017E">
        <w:rPr>
          <w:rStyle w:val="e24kjd"/>
          <w:rFonts w:ascii="Times New Roman" w:hAnsi="Times New Roman" w:cs="Times New Roman"/>
          <w:noProof/>
          <w:sz w:val="24"/>
          <w:szCs w:val="24"/>
        </w:rPr>
        <w:fldChar w:fldCharType="end"/>
      </w:r>
      <w:r w:rsidR="00DA082B" w:rsidRPr="008D017E">
        <w:rPr>
          <w:rStyle w:val="e24kjd"/>
          <w:rFonts w:ascii="Times New Roman" w:hAnsi="Times New Roman" w:cs="Times New Roman"/>
          <w:noProof/>
          <w:sz w:val="24"/>
          <w:szCs w:val="24"/>
          <w:lang w:val="id-ID"/>
        </w:rPr>
        <w:t xml:space="preserve">. </w:t>
      </w:r>
      <w:r w:rsidR="00F26FB4" w:rsidRPr="008D017E">
        <w:rPr>
          <w:rStyle w:val="e24kjd"/>
          <w:rFonts w:ascii="Times New Roman" w:hAnsi="Times New Roman" w:cs="Times New Roman"/>
          <w:noProof/>
          <w:sz w:val="24"/>
          <w:szCs w:val="24"/>
        </w:rPr>
        <w:t>P</w:t>
      </w:r>
      <w:r w:rsidRPr="008D017E">
        <w:rPr>
          <w:rFonts w:ascii="Times New Roman" w:hAnsi="Times New Roman" w:cs="Times New Roman"/>
          <w:noProof/>
          <w:sz w:val="24"/>
          <w:szCs w:val="24"/>
          <w:lang w:val="id-ID"/>
        </w:rPr>
        <w:t>ermasalahan pasien, kebutuhan pembelajar, ritme kerja di unit tertentu</w:t>
      </w:r>
      <w:r w:rsidRPr="008D017E">
        <w:rPr>
          <w:rFonts w:ascii="Times New Roman" w:hAnsi="Times New Roman" w:cs="Times New Roman"/>
          <w:noProof/>
          <w:sz w:val="24"/>
          <w:szCs w:val="24"/>
        </w:rPr>
        <w:t xml:space="preserve"> atau waktu yang tersedia</w:t>
      </w:r>
      <w:r w:rsidR="00F26FB4" w:rsidRPr="008D017E">
        <w:rPr>
          <w:rFonts w:ascii="Times New Roman" w:hAnsi="Times New Roman" w:cs="Times New Roman"/>
          <w:noProof/>
          <w:sz w:val="24"/>
          <w:szCs w:val="24"/>
        </w:rPr>
        <w:t xml:space="preserve"> sangat menentukan pembelajaran yang terjadi </w:t>
      </w:r>
      <w:r w:rsidRPr="008D017E">
        <w:rPr>
          <w:rFonts w:ascii="Times New Roman" w:hAnsi="Times New Roman" w:cs="Times New Roman"/>
          <w:noProof/>
          <w:sz w:val="24"/>
          <w:szCs w:val="24"/>
        </w:rPr>
        <w:fldChar w:fldCharType="begin" w:fldLock="1"/>
      </w:r>
      <w:r w:rsidRPr="008D017E">
        <w:rPr>
          <w:rFonts w:ascii="Times New Roman" w:hAnsi="Times New Roman" w:cs="Times New Roman"/>
          <w:noProof/>
          <w:sz w:val="24"/>
          <w:szCs w:val="24"/>
        </w:rPr>
        <w:instrText>ADDIN CSL_CITATION {"citationItems":[{"id":"ITEM-1","itemData":{"DOI":"10.1080/0142159X.2017.1360473","ISSN":"1466187X","abstract":"Background: Clinical teaching lies at the heart of medical education. However, few studies have explored the embedded nature of teaching and clinical care. The goal of this study was to examine the process of clinical teaching as it naturally, and spontaneously, unfolds in a broad range of authentic contexts with medical students and residents. Methods: This focused ethnographic study consisted of 160 hours of participant observation and field interviews with three internal medicine teams. Thematic analysis guided data organization and interpretation. Findings: Three overlapping themes emerged: the interconnectedness between clinical work and pedagogy; a multiplicity of teachers; and the influence of space and artifacts on teaching and learning. Clinical teaching, which was deeply embedded in clinical care, was influenced by the acuity of patient problems, learner needs, and the context in which teaching unfolded; it also occurred on a spectrum that included planned, opportunistic, formal, and informal teaching (and learning). Conclusions: Study findings suggest that clinical teaching, which is marked by an intersection between service and teaching, can be viewed as an example of work-based teaching. They also yield suggestions for the enhancement of clinical teaching in inpatient settings, faculty development, and educational policies that recognize clinical teaching and learning.","author":[{"dropping-particle":"","family":"Steinert","given":"Yvonne","non-dropping-particle":"","parse-names":false,"suffix":""},{"dropping-particle":"","family":"Basi","given":"Mandeep","non-dropping-particle":"","parse-names":false,"suffix":""},{"dropping-particle":"","family":"Nugus","given":"Peter","non-dropping-particle":"","parse-names":false,"suffix":""}],"container-title":"Medical Teacher","id":"ITEM-1","issue":"12","issued":{"date-parts":[["2017"]]},"note":"Pendidikan klinik atau supervisi klinik yang efektif sangat penting untuk memastikan pelayanan pasien dan pembelajaran mahasiswa yang berkualitas. Namun demikian, pada prakteknya supervisi klinis sangat sulit diterapkan dan penelitian melaporkan bahwa pendidikan klinis bersifat multifaset, spontan baik terencana maupun tidak, berlangsung di situasi alamiah pelayanan kesehatan dan melibatkan berbagai aktivitas dan spesialisasi . \nPelayanan pasien merupakan prioritas yang menentukan ritme dan alur kerja pelayanan dan pendidikan. Pelayanan dan pendidikan saling melengkapi dan dibangun di atas satu sama lain. Keduanya memiliki satu tujuan, memberikan layanan pasien yang aman dan berkualitas, sekaligus mendidik calon dokter di masa depan. \nPelayanan klinis dan pendidikan klinis saling terkait satu sama lain. Keduanya sama-sama berlangsung dalam kegiatan rutin sehari-hari dan tidak ada batas yang jelas antara keduanya. Sesi pembelajaran sering berlangsung tanpa terencana pada saat supervisor dan trainee berinteraksi untuk perawatan pasien. Ritme kerja di suatu unit, kebutuhan pasien, kejelasan masalah klinis pasien, dan kebutuhan pembelajar membentuk karakteristik suatu pembelajaran klinis. Pembelajaran klinis juga bersifat sangat dinamis, fokus dan prioritas dapat berubah dengan cepat sesuai dengan sifat masalah pasien, kebutuhan pembelajar dan waktu yang tersedia (Steinert, Basi and Nugus, 2017) \nPembelajaran juga berlangsung melalui sesi tanya jawab spontan. Supervisor klinis mengajukan variasi pertanyaan dengan tujuan pedagogik, pelayanan klinis hingga supervisi. Pertanyaan yang diajukan antara lain bertujuan untuk menggali informasi faktual tentang pasien, menguji kemampuan mahasiswa dan mendorong kolaborasi dalam tim. \nPembelajaran klinis merupakan pembelajaran berbasis lingkungan kerja (work-based learning), dimana tugas pekerjaan merupakan katalis bagi pembelajaran dan pembelajaran dicirikan sebagai observasi, partisipasi dan bimbingan ahli yang didapatkan di lingkungan kerja otentik (Billet 1994, 2004 in (Steinert, Basi and Nugus, 2017). Pembelajaran yang terjadi bersifat spontan, oportunistik, baik terencana maupun tidak, kompleks dan tertanam erat di situasi layanan klinis. Work-based learning adalah suatu bentuk situated learning yang terdiri dari terdiri dari pengaruh kognitif, interaksional, dan lingkungan (Lave and Wenger, 1991 dalam(Steinert, Basi and Nugus, 2017)","page":"1238-1244","publisher":"Informa UK Ltd.","title":"How physicians teach in the clinical setting: The embedded roles of teaching and clinical care","type":"article-journal","volume":"39"},"uris":["http://www.mendeley.com/documents/?uuid=a77e709d-d5dd-446e-b3dd-298a68c9bfab"]}],"mendeley":{"formattedCitation":"(Steinert, Basi and Nugus, 2017)","plainTextFormattedCitation":"(Steinert, Basi and Nugus, 2017)","previouslyFormattedCitation":"(Steinert, Basi and Nugus, 2017)"},"properties":{"noteIndex":0},"schema":"https://github.com/citation-style-language/schema/raw/master/csl-citation.json"}</w:instrText>
      </w:r>
      <w:r w:rsidRPr="008D017E">
        <w:rPr>
          <w:rFonts w:ascii="Times New Roman" w:hAnsi="Times New Roman" w:cs="Times New Roman"/>
          <w:noProof/>
          <w:sz w:val="24"/>
          <w:szCs w:val="24"/>
        </w:rPr>
        <w:fldChar w:fldCharType="separate"/>
      </w:r>
      <w:r w:rsidRPr="008D017E">
        <w:rPr>
          <w:rFonts w:ascii="Times New Roman" w:hAnsi="Times New Roman" w:cs="Times New Roman"/>
          <w:noProof/>
          <w:sz w:val="24"/>
          <w:szCs w:val="24"/>
        </w:rPr>
        <w:t>(Steinert, Basi and Nugus, 2017)</w:t>
      </w:r>
      <w:r w:rsidRPr="008D017E">
        <w:rPr>
          <w:rFonts w:ascii="Times New Roman" w:hAnsi="Times New Roman" w:cs="Times New Roman"/>
          <w:noProof/>
          <w:sz w:val="24"/>
          <w:szCs w:val="24"/>
        </w:rPr>
        <w:fldChar w:fldCharType="end"/>
      </w:r>
      <w:r w:rsidRPr="008D017E">
        <w:rPr>
          <w:rFonts w:ascii="Times New Roman" w:hAnsi="Times New Roman" w:cs="Times New Roman"/>
          <w:noProof/>
          <w:sz w:val="24"/>
          <w:szCs w:val="24"/>
        </w:rPr>
        <w:t>.</w:t>
      </w:r>
      <w:r w:rsidRPr="008D017E">
        <w:rPr>
          <w:rStyle w:val="e24kjd"/>
          <w:rFonts w:ascii="Times New Roman" w:hAnsi="Times New Roman" w:cs="Times New Roman"/>
          <w:noProof/>
          <w:sz w:val="24"/>
          <w:szCs w:val="24"/>
        </w:rPr>
        <w:t xml:space="preserve"> </w:t>
      </w:r>
      <w:r w:rsidR="00E20609" w:rsidRPr="008D017E">
        <w:rPr>
          <w:rStyle w:val="e24kjd"/>
          <w:rFonts w:ascii="Times New Roman" w:hAnsi="Times New Roman" w:cs="Times New Roman"/>
          <w:noProof/>
          <w:sz w:val="24"/>
          <w:szCs w:val="24"/>
        </w:rPr>
        <w:t xml:space="preserve">Seorang pendidik klinis dituntut </w:t>
      </w:r>
      <w:r w:rsidR="00F26FB4" w:rsidRPr="008D017E">
        <w:rPr>
          <w:rStyle w:val="e24kjd"/>
          <w:rFonts w:ascii="Times New Roman" w:hAnsi="Times New Roman" w:cs="Times New Roman"/>
          <w:noProof/>
          <w:sz w:val="24"/>
          <w:szCs w:val="24"/>
        </w:rPr>
        <w:t>untuk dapat</w:t>
      </w:r>
      <w:r w:rsidR="00E20609" w:rsidRPr="008D017E">
        <w:rPr>
          <w:rStyle w:val="e24kjd"/>
          <w:rFonts w:ascii="Times New Roman" w:hAnsi="Times New Roman" w:cs="Times New Roman"/>
          <w:noProof/>
          <w:sz w:val="24"/>
          <w:szCs w:val="24"/>
        </w:rPr>
        <w:t xml:space="preserve"> melakukan penyesuaian antara rencana yang telah disiapkan dengan situasi yang dihadapi. </w:t>
      </w:r>
      <w:r w:rsidR="00DA082B" w:rsidRPr="008D017E">
        <w:rPr>
          <w:rStyle w:val="e24kjd"/>
          <w:rFonts w:ascii="Times New Roman" w:hAnsi="Times New Roman" w:cs="Times New Roman"/>
          <w:noProof/>
          <w:sz w:val="24"/>
          <w:szCs w:val="24"/>
          <w:lang w:val="id-ID"/>
        </w:rPr>
        <w:t xml:space="preserve">Pasien atau kasus-kasus yang mendukung pembelajaran tidak selalu tersedia, karenanya pendidik klinis harus dapat menyesuaikan pengajaran dengan kesempatan yang ada. Selain itu, keterbatasan waktu, beban tugas pelayanan dan tugas lainnya, serta lingkungan fisik yang kurang mendukung pelaksanaan kegiatan pembelajaran menjadi tantangan yang umum dijumpai dalam pembelajaran klinis </w:t>
      </w:r>
      <w:r w:rsidR="00DA082B" w:rsidRPr="008D017E">
        <w:rPr>
          <w:rStyle w:val="e24kjd"/>
          <w:rFonts w:ascii="Times New Roman" w:hAnsi="Times New Roman" w:cs="Times New Roman"/>
          <w:noProof/>
          <w:sz w:val="24"/>
          <w:szCs w:val="24"/>
          <w:lang w:val="id-ID"/>
        </w:rPr>
        <w:fldChar w:fldCharType="begin" w:fldLock="1"/>
      </w:r>
      <w:r w:rsidRPr="008D017E">
        <w:rPr>
          <w:rStyle w:val="e24kjd"/>
          <w:rFonts w:ascii="Times New Roman" w:hAnsi="Times New Roman" w:cs="Times New Roman"/>
          <w:noProof/>
          <w:sz w:val="24"/>
          <w:szCs w:val="24"/>
          <w:lang w:val="id-ID"/>
        </w:rPr>
        <w:instrText>ADDIN CSL_CITATION {"citationItems":[{"id":"ITEM-1","itemData":{"DOI":"10.1080/01421590802061613","ISBN":"1466-187X","ISSN":"0142159X","PMID":"18569655","abstract":"Teaching in the clinical environment is a demanding, complex and often frustrating task, a task many clinicians assume without adequate preparation or orientation. Twelve roles have previously been described for medical teachers, grouped into six major tasks: (1) the information provider; (2) the role model; (3) the facilitator; (4) the assessor; (5) the curriculum and course planner; and (6) the resource material creator (Harden &amp; Crosby 2000). It is clear that many of these roles require a teacher to be more than a medical expert. In a pure educational setting, teachers may have limited roles, but the clinical teacher often plays many roles simultaneously, switching from one role to another during the same encounter. The large majority of clinical teachers around the world have received rigorous training in medical knowledge and skills but little to none in teaching. As physicians become ever busier in their own clinical practice, being effective teachers becomes more challenging in the context of expanding clinical responsibilities and shrinking time for teaching (Prideaux et al. 2000). Clinicians on the frontline are often unaware of educational mandates from licensing and accreditation bodies as well as medical schools and postgraduate training programmes and this has major implications for staff training. Institutions need to provide necessary orientation and training for their clinical teachers. This Guide looks at the many challenges for teachers in the clinical environment, application of relevant educational theories to the clinical context and practical teaching tips for clinical teachers. This guide will concentrate on the hospital setting as teaching within the community is the subject of another AMEE guide.","author":[{"dropping-particle":"","family":"Ramani","given":"Subha","non-dropping-particle":"","parse-names":false,"suffix":""},{"dropping-particle":"","family":"Leinster","given":"Sam","non-dropping-particle":"","parse-names":false,"suffix":""}],"container-title":"Medical Teacher","id":"ITEM-1","issue":"4","issued":{"date-parts":[["2008"]]},"page":"347-364","title":"AMEE guide no. 34: Teaching in the clinical environment","type":"article-journal","volume":"30"},"uris":["http://www.mendeley.com/documents/?uuid=d85260dd-9c2d-4c0b-81df-59ceb0156107"]},{"id":"ITEM-2","itemData":{"author":[{"dropping-particle":"","family":"Spencer","given":"John","non-dropping-particle":"","parse-names":false,"suffix":""}],"chapter-number":"8","container-title":"ABC of learning and teaching in medicine","editor":[{"dropping-particle":"","family":"Cantillon","given":"Peter","non-dropping-particle":"","parse-names":false,"suffix":""},{"dropping-particle":"","family":"Hutchinson","given":"Linda","non-dropping-particle":"","parse-names":false,"suffix":""},{"dropping-particle":"","family":"Wood","given":"Diana","non-dropping-particle":"","parse-names":false,"suffix":""}],"id":"ITEM-2","issued":{"date-parts":[["2003"]]},"page":"25-28","publisher":"BMJ Publishing Group","publisher-place":"London","title":"Learning and teaching in clinical environment","type":"chapter"},"uris":["http://www.mendeley.com/documents/?uuid=ba34282b-aa95-4862-a8cf-4707c78f8690"]}],"mendeley":{"formattedCitation":"(Spencer, 2003; Ramani and Leinster, 2008)","plainTextFormattedCitation":"(Spencer, 2003; Ramani and Leinster, 2008)","previouslyFormattedCitation":"(Spencer, 2003; Ramani and Leinster, 2008)"},"properties":{"noteIndex":0},"schema":"https://github.com/citation-style-language/schema/raw/master/csl-citation.json"}</w:instrText>
      </w:r>
      <w:r w:rsidR="00DA082B" w:rsidRPr="008D017E">
        <w:rPr>
          <w:rStyle w:val="e24kjd"/>
          <w:rFonts w:ascii="Times New Roman" w:hAnsi="Times New Roman" w:cs="Times New Roman"/>
          <w:noProof/>
          <w:sz w:val="24"/>
          <w:szCs w:val="24"/>
          <w:lang w:val="id-ID"/>
        </w:rPr>
        <w:fldChar w:fldCharType="separate"/>
      </w:r>
      <w:r w:rsidRPr="008D017E">
        <w:rPr>
          <w:rStyle w:val="e24kjd"/>
          <w:rFonts w:ascii="Times New Roman" w:hAnsi="Times New Roman" w:cs="Times New Roman"/>
          <w:noProof/>
          <w:sz w:val="24"/>
          <w:szCs w:val="24"/>
          <w:lang w:val="id-ID"/>
        </w:rPr>
        <w:t>(Spencer, 2003; Ramani and Leinster, 2008)</w:t>
      </w:r>
      <w:r w:rsidR="00DA082B" w:rsidRPr="008D017E">
        <w:rPr>
          <w:rStyle w:val="e24kjd"/>
          <w:rFonts w:ascii="Times New Roman" w:hAnsi="Times New Roman" w:cs="Times New Roman"/>
          <w:noProof/>
          <w:sz w:val="24"/>
          <w:szCs w:val="24"/>
          <w:lang w:val="id-ID"/>
        </w:rPr>
        <w:fldChar w:fldCharType="end"/>
      </w:r>
      <w:r w:rsidR="00DA082B" w:rsidRPr="008D017E">
        <w:rPr>
          <w:rStyle w:val="e24kjd"/>
          <w:rFonts w:ascii="Times New Roman" w:hAnsi="Times New Roman" w:cs="Times New Roman"/>
          <w:noProof/>
          <w:sz w:val="24"/>
          <w:szCs w:val="24"/>
          <w:lang w:val="id-ID"/>
        </w:rPr>
        <w:t>.</w:t>
      </w:r>
      <w:r w:rsidR="00E20609" w:rsidRPr="008D017E">
        <w:rPr>
          <w:rStyle w:val="e24kjd"/>
          <w:rFonts w:ascii="Times New Roman" w:hAnsi="Times New Roman" w:cs="Times New Roman"/>
          <w:noProof/>
          <w:sz w:val="24"/>
          <w:szCs w:val="24"/>
        </w:rPr>
        <w:t xml:space="preserve"> </w:t>
      </w:r>
      <w:r w:rsidRPr="008D017E">
        <w:rPr>
          <w:rStyle w:val="e24kjd"/>
          <w:rFonts w:ascii="Times New Roman" w:hAnsi="Times New Roman" w:cs="Times New Roman"/>
          <w:noProof/>
          <w:sz w:val="24"/>
          <w:szCs w:val="24"/>
        </w:rPr>
        <w:t xml:space="preserve">Pembelajaran klinis tidak selalu berlangsung dalam situasi formal seperti di ruang </w:t>
      </w:r>
      <w:r w:rsidR="00AF1DE3" w:rsidRPr="008D017E">
        <w:rPr>
          <w:rStyle w:val="e24kjd"/>
          <w:rFonts w:ascii="Times New Roman" w:hAnsi="Times New Roman" w:cs="Times New Roman"/>
          <w:noProof/>
          <w:sz w:val="24"/>
          <w:szCs w:val="24"/>
        </w:rPr>
        <w:t>kelas</w:t>
      </w:r>
      <w:r w:rsidRPr="008D017E">
        <w:rPr>
          <w:rStyle w:val="e24kjd"/>
          <w:rFonts w:ascii="Times New Roman" w:hAnsi="Times New Roman" w:cs="Times New Roman"/>
          <w:noProof/>
          <w:sz w:val="24"/>
          <w:szCs w:val="24"/>
        </w:rPr>
        <w:t xml:space="preserve">. Penelitian menunjukkan bahwa mahasiswa di tahap klinis juga belajar melalui pengamatan akan perilaku dokter selama berada di lingkungan klinis, serta interaksi informal antara dokter dan mahasiswa saat istirahat </w:t>
      </w:r>
      <w:r w:rsidRPr="008D017E">
        <w:rPr>
          <w:rStyle w:val="e24kjd"/>
          <w:rFonts w:ascii="Times New Roman" w:hAnsi="Times New Roman" w:cs="Times New Roman"/>
          <w:noProof/>
          <w:sz w:val="24"/>
          <w:szCs w:val="24"/>
        </w:rPr>
        <w:fldChar w:fldCharType="begin" w:fldLock="1"/>
      </w:r>
      <w:r w:rsidR="00BC64B3" w:rsidRPr="008D017E">
        <w:rPr>
          <w:rStyle w:val="e24kjd"/>
          <w:rFonts w:ascii="Times New Roman" w:hAnsi="Times New Roman" w:cs="Times New Roman"/>
          <w:noProof/>
          <w:sz w:val="24"/>
          <w:szCs w:val="24"/>
        </w:rPr>
        <w:instrText>ADDIN CSL_CITATION {"citationItems":[{"id":"ITEM-1","itemData":{"DOI":"10.1080/0142159X.2017.1360473","ISSN":"1466187X","abstract":"Background: Clinical teaching lies at the heart of medical education. However, few studies have explored the embedded nature of teaching and clinical care. The goal of this study was to examine the process of clinical teaching as it naturally, and spontaneously, unfolds in a broad range of authentic contexts with medical students and residents. Methods: This focused ethnographic study consisted of 160 hours of participant observation and field interviews with three internal medicine teams. Thematic analysis guided data organization and interpretation. Findings: Three overlapping themes emerged: the interconnectedness between clinical work and pedagogy; a multiplicity of teachers; and the influence of space and artifacts on teaching and learning. Clinical teaching, which was deeply embedded in clinical care, was influenced by the acuity of patient problems, learner needs, and the context in which teaching unfolded; it also occurred on a spectrum that included planned, opportunistic, formal, and informal teaching (and learning). Conclusions: Study findings suggest that clinical teaching, which is marked by an intersection between service and teaching, can be viewed as an example of work-based teaching. They also yield suggestions for the enhancement of clinical teaching in inpatient settings, faculty development, and educational policies that recognize clinical teaching and learning.","author":[{"dropping-particle":"","family":"Steinert","given":"Yvonne","non-dropping-particle":"","parse-names":false,"suffix":""},{"dropping-particle":"","family":"Basi","given":"Mandeep","non-dropping-particle":"","parse-names":false,"suffix":""},{"dropping-particle":"","family":"Nugus","given":"Peter","non-dropping-particle":"","parse-names":false,"suffix":""}],"container-title":"Medical Teacher","id":"ITEM-1","issue":"12","issued":{"date-parts":[["2017"]]},"note":"Pendidikan klinik atau supervisi klinik yang efektif sangat penting untuk memastikan pelayanan pasien dan pembelajaran mahasiswa yang berkualitas. Namun demikian, pada prakteknya supervisi klinis sangat sulit diterapkan dan penelitian melaporkan bahwa pendidikan klinis bersifat multifaset, spontan baik terencana maupun tidak, berlangsung di situasi alamiah pelayanan kesehatan dan melibatkan berbagai aktivitas dan spesialisasi . \nPelayanan pasien merupakan prioritas yang menentukan ritme dan alur kerja pelayanan dan pendidikan. Pelayanan dan pendidikan saling melengkapi dan dibangun di atas satu sama lain. Keduanya memiliki satu tujuan, memberikan layanan pasien yang aman dan berkualitas, sekaligus mendidik calon dokter di masa depan. \nPelayanan klinis dan pendidikan klinis saling terkait satu sama lain. Keduanya sama-sama berlangsung dalam kegiatan rutin sehari-hari dan tidak ada batas yang jelas antara keduanya. Sesi pembelajaran sering berlangsung tanpa terencana pada saat supervisor dan trainee berinteraksi untuk perawatan pasien. Ritme kerja di suatu unit, kebutuhan pasien, kejelasan masalah klinis pasien, dan kebutuhan pembelajar membentuk karakteristik suatu pembelajaran klinis. Pembelajaran klinis juga bersifat sangat dinamis, fokus dan prioritas dapat berubah dengan cepat sesuai dengan sifat masalah pasien, kebutuhan pembelajar dan waktu yang tersedia (Steinert, Basi and Nugus, 2017) \nPembelajaran juga berlangsung melalui sesi tanya jawab spontan. Supervisor klinis mengajukan variasi pertanyaan dengan tujuan pedagogik, pelayanan klinis hingga supervisi. Pertanyaan yang diajukan antara lain bertujuan untuk menggali informasi faktual tentang pasien, menguji kemampuan mahasiswa dan mendorong kolaborasi dalam tim. \nPembelajaran klinis merupakan pembelajaran berbasis lingkungan kerja (work-based learning), dimana tugas pekerjaan merupakan katalis bagi pembelajaran dan pembelajaran dicirikan sebagai observasi, partisipasi dan bimbingan ahli yang didapatkan di lingkungan kerja otentik (Billet 1994, 2004 in (Steinert, Basi and Nugus, 2017). Pembelajaran yang terjadi bersifat spontan, oportunistik, baik terencana maupun tidak, kompleks dan tertanam erat di situasi layanan klinis. Work-based learning adalah suatu bentuk situated learning yang terdiri dari terdiri dari pengaruh kognitif, interaksional, dan lingkungan (Lave and Wenger, 1991 dalam(Steinert, Basi and Nugus, 2017)","page":"1238-1244","publisher":"Informa UK Ltd.","title":"How physicians teach in the clinical setting: The embedded roles of teaching and clinical care","type":"article-journal","volume":"39"},"uris":["http://www.mendeley.com/documents/?uuid=a77e709d-d5dd-446e-b3dd-298a68c9bfab"]}],"mendeley":{"formattedCitation":"(Steinert, Basi and Nugus, 2017)","plainTextFormattedCitation":"(Steinert, Basi and Nugus, 2017)","previouslyFormattedCitation":"(Steinert, Basi and Nugus, 2017)"},"properties":{"noteIndex":0},"schema":"https://github.com/citation-style-language/schema/raw/master/csl-citation.json"}</w:instrText>
      </w:r>
      <w:r w:rsidRPr="008D017E">
        <w:rPr>
          <w:rStyle w:val="e24kjd"/>
          <w:rFonts w:ascii="Times New Roman" w:hAnsi="Times New Roman" w:cs="Times New Roman"/>
          <w:noProof/>
          <w:sz w:val="24"/>
          <w:szCs w:val="24"/>
        </w:rPr>
        <w:fldChar w:fldCharType="separate"/>
      </w:r>
      <w:r w:rsidRPr="008D017E">
        <w:rPr>
          <w:rStyle w:val="e24kjd"/>
          <w:rFonts w:ascii="Times New Roman" w:hAnsi="Times New Roman" w:cs="Times New Roman"/>
          <w:noProof/>
          <w:sz w:val="24"/>
          <w:szCs w:val="24"/>
        </w:rPr>
        <w:t>(Steinert, Basi and Nugus, 2017)</w:t>
      </w:r>
      <w:r w:rsidRPr="008D017E">
        <w:rPr>
          <w:rStyle w:val="e24kjd"/>
          <w:rFonts w:ascii="Times New Roman" w:hAnsi="Times New Roman" w:cs="Times New Roman"/>
          <w:noProof/>
          <w:sz w:val="24"/>
          <w:szCs w:val="24"/>
        </w:rPr>
        <w:fldChar w:fldCharType="end"/>
      </w:r>
      <w:r w:rsidRPr="008D017E">
        <w:rPr>
          <w:rStyle w:val="e24kjd"/>
          <w:rFonts w:ascii="Times New Roman" w:hAnsi="Times New Roman" w:cs="Times New Roman"/>
          <w:noProof/>
          <w:sz w:val="24"/>
          <w:szCs w:val="24"/>
        </w:rPr>
        <w:t xml:space="preserve">. </w:t>
      </w:r>
      <w:r w:rsidR="00812CC3" w:rsidRPr="008D017E">
        <w:rPr>
          <w:rStyle w:val="e24kjd"/>
          <w:rFonts w:ascii="Times New Roman" w:hAnsi="Times New Roman" w:cs="Times New Roman"/>
          <w:noProof/>
          <w:sz w:val="24"/>
          <w:szCs w:val="24"/>
        </w:rPr>
        <w:t>Kemampuan menciptakan dan menangkap kesempatan yang tersedia untuk mengajar, serta menggunakan strategi mengajar yang sesuai dalam situasi layanan klinis dengan memperhatikan kebutuhan pasien dan pembelajar sangat diperlukan oleh pendidik klinis.</w:t>
      </w:r>
    </w:p>
    <w:p w:rsidR="00197377" w:rsidRPr="008D017E" w:rsidRDefault="00DA082B" w:rsidP="00EC3469">
      <w:pPr>
        <w:ind w:firstLine="720"/>
        <w:jc w:val="both"/>
        <w:rPr>
          <w:rStyle w:val="e24kjd"/>
          <w:rFonts w:ascii="Times New Roman" w:hAnsi="Times New Roman" w:cs="Times New Roman"/>
          <w:noProof/>
          <w:sz w:val="24"/>
          <w:szCs w:val="24"/>
        </w:rPr>
      </w:pPr>
      <w:r w:rsidRPr="008D017E">
        <w:rPr>
          <w:rStyle w:val="e24kjd"/>
          <w:rFonts w:ascii="Times New Roman" w:hAnsi="Times New Roman" w:cs="Times New Roman"/>
          <w:noProof/>
          <w:sz w:val="24"/>
          <w:szCs w:val="24"/>
          <w:lang w:val="id-ID"/>
        </w:rPr>
        <w:t xml:space="preserve">Sebelum terlibat dalam pendidikan, dokter klinisi hanya sedikit atau bahkan belum pernah sama sekali mendapatkan pelatihan khusus terkait tugasnya sebagai pendidik. Hal ini lumrah karena rekrutmen akademisi di institusi pendidikan kedokteran umumnya berdasarkan kualifikasi profesional (biasanya klinis) dan kemampuan meneliti, sehingga tidak mengherankan jika sebagian besar klinisi merasa tidak dipersiapkan untuk mengajar </w:t>
      </w:r>
      <w:r w:rsidRPr="008D017E">
        <w:rPr>
          <w:rStyle w:val="e24kjd"/>
          <w:rFonts w:ascii="Times New Roman" w:hAnsi="Times New Roman" w:cs="Times New Roman"/>
          <w:noProof/>
          <w:sz w:val="24"/>
          <w:szCs w:val="24"/>
          <w:lang w:val="id-ID"/>
        </w:rPr>
        <w:fldChar w:fldCharType="begin" w:fldLock="1"/>
      </w:r>
      <w:r w:rsidR="00D85EDF" w:rsidRPr="008D017E">
        <w:rPr>
          <w:rStyle w:val="e24kjd"/>
          <w:rFonts w:ascii="Times New Roman" w:hAnsi="Times New Roman" w:cs="Times New Roman"/>
          <w:noProof/>
          <w:sz w:val="24"/>
          <w:szCs w:val="24"/>
          <w:lang w:val="id-ID"/>
        </w:rPr>
        <w:instrText>ADDIN CSL_CITATION {"citationItems":[{"id":"ITEM-1","itemData":{"DOI":"10.1080/01421590802109834","ISBN":"1466-187X","ISSN":"0142159X","abstract":"Medical education has evolved to become a discipline in its own right. With demands on medical faculties to be socially responsible and accountable, there is now increasing pressure for the professionalisation of teaching practice. Developing a cadre of professional and competent teachers, educators, researchers and leaders for their new roles and responsibilities in medical education requires faculty development. Faculty development is, however, not an easy task. It requires supportive institutional leadership, appropriate resource allocation and recognition for teaching excellence. This guide is designed to assist those charged with preparing faculty for their many new roles in teaching and education in both medical and allied health science education. It provides a historical perspective of faculty development and draws on the medical, health science and higher education literature to provide a number of frameworks that may be useful for designing tailored faculty development programmes. These frameworks can be used by faculty developers to systematically plan, implement and evaluate their staff development programmes. This guide concludes with some of the major trends and driving forces in medical education that we believe will shape future faculty development.","author":[{"dropping-particle":"","family":"McLean","given":"Michelle","non-dropping-particle":"","parse-names":false,"suffix":""},{"dropping-particle":"","family":"Cilliers","given":"Francois","non-dropping-particle":"","parse-names":false,"suffix":""},{"dropping-particle":"","family":"Wyk","given":"Jacqueline","non-dropping-particle":"Van","parse-names":false,"suffix":""}],"container-title":"Medical Teacher","id":"ITEM-1","issue":"6","issued":{"date-parts":[["2008"]]},"page":"555-584","title":"Faculty development: Yesterday, today and tomorrow","type":"article-journal","volume":"30"},"uris":["http://www.mendeley.com/documents/?uuid=e73ba253-fc00-4c69-b6b2-396d93b61234"]}],"mendeley":{"formattedCitation":"(McLean, Cilliers and Van Wyk, 2008)","plainTextFormattedCitation":"(McLean, Cilliers and Van Wyk, 2008)","previouslyFormattedCitation":"(McLean, Cilliers and Van Wyk, 2008)"},"properties":{"noteIndex":0},"schema":"https://github.com/citation-style-language/schema/raw/master/csl-citation.json"}</w:instrText>
      </w:r>
      <w:r w:rsidRPr="008D017E">
        <w:rPr>
          <w:rStyle w:val="e24kjd"/>
          <w:rFonts w:ascii="Times New Roman" w:hAnsi="Times New Roman" w:cs="Times New Roman"/>
          <w:noProof/>
          <w:sz w:val="24"/>
          <w:szCs w:val="24"/>
          <w:lang w:val="id-ID"/>
        </w:rPr>
        <w:fldChar w:fldCharType="separate"/>
      </w:r>
      <w:r w:rsidR="00140C7F" w:rsidRPr="008D017E">
        <w:rPr>
          <w:rStyle w:val="e24kjd"/>
          <w:rFonts w:ascii="Times New Roman" w:hAnsi="Times New Roman" w:cs="Times New Roman"/>
          <w:noProof/>
          <w:sz w:val="24"/>
          <w:szCs w:val="24"/>
          <w:lang w:val="id-ID"/>
        </w:rPr>
        <w:t>(McLean, Cilliers and Van Wyk, 2008)</w:t>
      </w:r>
      <w:r w:rsidRPr="008D017E">
        <w:rPr>
          <w:rStyle w:val="e24kjd"/>
          <w:rFonts w:ascii="Times New Roman" w:hAnsi="Times New Roman" w:cs="Times New Roman"/>
          <w:noProof/>
          <w:sz w:val="24"/>
          <w:szCs w:val="24"/>
          <w:lang w:val="id-ID"/>
        </w:rPr>
        <w:fldChar w:fldCharType="end"/>
      </w:r>
      <w:r w:rsidRPr="008D017E">
        <w:rPr>
          <w:rStyle w:val="e24kjd"/>
          <w:rFonts w:ascii="Times New Roman" w:hAnsi="Times New Roman" w:cs="Times New Roman"/>
          <w:noProof/>
          <w:sz w:val="24"/>
          <w:szCs w:val="24"/>
          <w:lang w:val="id-ID"/>
        </w:rPr>
        <w:t xml:space="preserve">. </w:t>
      </w:r>
      <w:r w:rsidR="002041AD" w:rsidRPr="008D017E">
        <w:rPr>
          <w:rStyle w:val="e24kjd"/>
          <w:rFonts w:ascii="Times New Roman" w:hAnsi="Times New Roman" w:cs="Times New Roman"/>
          <w:noProof/>
          <w:sz w:val="24"/>
          <w:szCs w:val="24"/>
          <w:lang w:val="id-ID"/>
        </w:rPr>
        <w:t xml:space="preserve">Kegiatan pengembangan fakultas </w:t>
      </w:r>
      <w:r w:rsidR="002041AD" w:rsidRPr="008D017E">
        <w:rPr>
          <w:rStyle w:val="e24kjd"/>
          <w:rFonts w:ascii="Times New Roman" w:hAnsi="Times New Roman" w:cs="Times New Roman"/>
          <w:i/>
          <w:noProof/>
          <w:sz w:val="24"/>
          <w:szCs w:val="24"/>
          <w:lang w:val="id-ID"/>
        </w:rPr>
        <w:t xml:space="preserve">(faculty development) </w:t>
      </w:r>
      <w:r w:rsidR="002041AD" w:rsidRPr="008D017E">
        <w:rPr>
          <w:rStyle w:val="e24kjd"/>
          <w:rFonts w:ascii="Times New Roman" w:hAnsi="Times New Roman" w:cs="Times New Roman"/>
          <w:noProof/>
          <w:sz w:val="24"/>
          <w:szCs w:val="24"/>
          <w:lang w:val="id-ID"/>
        </w:rPr>
        <w:t xml:space="preserve">memiliki peran penting dalam pendidikan kedokteran untuk mempersiapkan dokter klinisi menjadi pendidik. Kekhususan karakteristik pembelajaran klinis seperti yang dijelaskan di atas menuntut dokter klinisi mengembangkan kompetensi sebagai pendidik klinis. </w:t>
      </w:r>
      <w:r w:rsidR="00BC64B3" w:rsidRPr="008D017E">
        <w:rPr>
          <w:rStyle w:val="e24kjd"/>
          <w:rFonts w:ascii="Times New Roman" w:hAnsi="Times New Roman" w:cs="Times New Roman"/>
          <w:noProof/>
          <w:sz w:val="24"/>
          <w:szCs w:val="24"/>
        </w:rPr>
        <w:t xml:space="preserve">Ramani &amp; Leinster </w:t>
      </w:r>
      <w:r w:rsidR="00BC64B3" w:rsidRPr="008D017E">
        <w:rPr>
          <w:rStyle w:val="e24kjd"/>
          <w:rFonts w:ascii="Times New Roman" w:hAnsi="Times New Roman" w:cs="Times New Roman"/>
          <w:noProof/>
          <w:sz w:val="24"/>
          <w:szCs w:val="24"/>
        </w:rPr>
        <w:fldChar w:fldCharType="begin" w:fldLock="1"/>
      </w:r>
      <w:r w:rsidR="00602C19" w:rsidRPr="008D017E">
        <w:rPr>
          <w:rStyle w:val="e24kjd"/>
          <w:rFonts w:ascii="Times New Roman" w:hAnsi="Times New Roman" w:cs="Times New Roman"/>
          <w:noProof/>
          <w:sz w:val="24"/>
          <w:szCs w:val="24"/>
        </w:rPr>
        <w:instrText>ADDIN CSL_CITATION {"citationItems":[{"id":"ITEM-1","itemData":{"DOI":"10.1080/01421590802061613","ISBN":"1466-187X","ISSN":"0142159X","PMID":"18569655","abstract":"Teaching in the clinical environment is a demanding, complex and often frustrating task, a task many clinicians assume without adequate preparation or orientation. Twelve roles have previously been described for medical teachers, grouped into six major tasks: (1) the information provider; (2) the role model; (3) the facilitator; (4) the assessor; (5) the curriculum and course planner; and (6) the resource material creator (Harden &amp; Crosby 2000). It is clear that many of these roles require a teacher to be more than a medical expert. In a pure educational setting, teachers may have limited roles, but the clinical teacher often plays many roles simultaneously, switching from one role to another during the same encounter. The large majority of clinical teachers around the world have received rigorous training in medical knowledge and skills but little to none in teaching. As physicians become ever busier in their own clinical practice, being effective teachers becomes more challenging in the context of expanding clinical responsibilities and shrinking time for teaching (Prideaux et al. 2000). Clinicians on the frontline are often unaware of educational mandates from licensing and accreditation bodies as well as medical schools and postgraduate training programmes and this has major implications for staff training. Institutions need to provide necessary orientation and training for their clinical teachers. This Guide looks at the many challenges for teachers in the clinical environment, application of relevant educational theories to the clinical context and practical teaching tips for clinical teachers. This guide will concentrate on the hospital setting as teaching within the community is the subject of another AMEE guide.","author":[{"dropping-particle":"","family":"Ramani","given":"Subha","non-dropping-particle":"","parse-names":false,"suffix":""},{"dropping-particle":"","family":"Leinster","given":"Sam","non-dropping-particle":"","parse-names":false,"suffix":""}],"container-title":"Medical Teacher","id":"ITEM-1","issue":"4","issued":{"date-parts":[["2008"]]},"page":"347-364","title":"AMEE guide no. 34: Teaching in the clinical environment","type":"article-journal","volume":"30"},"label":"chapter","suppress-author":1,"uris":["http://www.mendeley.com/documents/?uuid=d85260dd-9c2d-4c0b-81df-59ceb0156107"]}],"mendeley":{"formattedCitation":"(2008)","plainTextFormattedCitation":"(2008)","previouslyFormattedCitation":"(2008)"},"properties":{"noteIndex":0},"schema":"https://github.com/citation-style-language/schema/raw/master/csl-citation.json"}</w:instrText>
      </w:r>
      <w:r w:rsidR="00BC64B3" w:rsidRPr="008D017E">
        <w:rPr>
          <w:rStyle w:val="e24kjd"/>
          <w:rFonts w:ascii="Times New Roman" w:hAnsi="Times New Roman" w:cs="Times New Roman"/>
          <w:noProof/>
          <w:sz w:val="24"/>
          <w:szCs w:val="24"/>
        </w:rPr>
        <w:fldChar w:fldCharType="separate"/>
      </w:r>
      <w:r w:rsidR="00BC64B3" w:rsidRPr="008D017E">
        <w:rPr>
          <w:rStyle w:val="e24kjd"/>
          <w:rFonts w:ascii="Times New Roman" w:hAnsi="Times New Roman" w:cs="Times New Roman"/>
          <w:noProof/>
          <w:sz w:val="24"/>
          <w:szCs w:val="24"/>
        </w:rPr>
        <w:t>(2008)</w:t>
      </w:r>
      <w:r w:rsidR="00BC64B3" w:rsidRPr="008D017E">
        <w:rPr>
          <w:rStyle w:val="e24kjd"/>
          <w:rFonts w:ascii="Times New Roman" w:hAnsi="Times New Roman" w:cs="Times New Roman"/>
          <w:noProof/>
          <w:sz w:val="24"/>
          <w:szCs w:val="24"/>
        </w:rPr>
        <w:fldChar w:fldCharType="end"/>
      </w:r>
      <w:r w:rsidR="00BC64B3" w:rsidRPr="008D017E">
        <w:rPr>
          <w:rStyle w:val="e24kjd"/>
          <w:rFonts w:ascii="Times New Roman" w:hAnsi="Times New Roman" w:cs="Times New Roman"/>
          <w:noProof/>
          <w:sz w:val="24"/>
          <w:szCs w:val="24"/>
        </w:rPr>
        <w:t xml:space="preserve"> dalam panduan mengajar di lingkungan klinis yang diterbitkan oleh </w:t>
      </w:r>
      <w:r w:rsidR="00BC64B3" w:rsidRPr="008D017E">
        <w:rPr>
          <w:rStyle w:val="e24kjd"/>
          <w:rFonts w:ascii="Times New Roman" w:hAnsi="Times New Roman" w:cs="Times New Roman"/>
          <w:i/>
          <w:noProof/>
          <w:sz w:val="24"/>
          <w:szCs w:val="24"/>
        </w:rPr>
        <w:t>Association of Medical Education in Europe (AMEE)</w:t>
      </w:r>
      <w:r w:rsidR="00BC64B3" w:rsidRPr="008D017E">
        <w:rPr>
          <w:rStyle w:val="e24kjd"/>
          <w:rFonts w:ascii="Times New Roman" w:hAnsi="Times New Roman" w:cs="Times New Roman"/>
          <w:noProof/>
          <w:sz w:val="24"/>
          <w:szCs w:val="24"/>
        </w:rPr>
        <w:t xml:space="preserve"> merinci kemampuan yang harus dimiliki ol</w:t>
      </w:r>
      <w:r w:rsidR="002041AD" w:rsidRPr="008D017E">
        <w:rPr>
          <w:rStyle w:val="e24kjd"/>
          <w:rFonts w:ascii="Times New Roman" w:hAnsi="Times New Roman" w:cs="Times New Roman"/>
          <w:noProof/>
          <w:sz w:val="24"/>
          <w:szCs w:val="24"/>
        </w:rPr>
        <w:t xml:space="preserve">eh seorang pendidik kedokteran menggunakan model tiga lingkaran </w:t>
      </w:r>
      <w:r w:rsidR="00197377" w:rsidRPr="008D017E">
        <w:rPr>
          <w:rStyle w:val="e24kjd"/>
          <w:rFonts w:ascii="Times New Roman" w:hAnsi="Times New Roman" w:cs="Times New Roman"/>
          <w:i/>
          <w:noProof/>
          <w:sz w:val="24"/>
          <w:szCs w:val="24"/>
        </w:rPr>
        <w:t>outcome</w:t>
      </w:r>
      <w:r w:rsidR="00197377" w:rsidRPr="008D017E">
        <w:rPr>
          <w:rStyle w:val="e24kjd"/>
          <w:rFonts w:ascii="Times New Roman" w:hAnsi="Times New Roman" w:cs="Times New Roman"/>
          <w:noProof/>
          <w:sz w:val="24"/>
          <w:szCs w:val="24"/>
        </w:rPr>
        <w:t xml:space="preserve"> </w:t>
      </w:r>
      <w:r w:rsidR="002041AD" w:rsidRPr="008D017E">
        <w:rPr>
          <w:rStyle w:val="e24kjd"/>
          <w:rFonts w:ascii="Times New Roman" w:hAnsi="Times New Roman" w:cs="Times New Roman"/>
          <w:noProof/>
          <w:sz w:val="24"/>
          <w:szCs w:val="24"/>
        </w:rPr>
        <w:t xml:space="preserve">yang diajukan oleh Harden (gambar 1). Pada lingkaran terdalam, seorang pendidik kedokteran harus menguasai teknik mengajar </w:t>
      </w:r>
      <w:r w:rsidR="002041AD" w:rsidRPr="008D017E">
        <w:rPr>
          <w:rStyle w:val="e24kjd"/>
          <w:rFonts w:ascii="Times New Roman" w:hAnsi="Times New Roman" w:cs="Times New Roman"/>
          <w:i/>
          <w:noProof/>
          <w:sz w:val="24"/>
          <w:szCs w:val="24"/>
        </w:rPr>
        <w:t>(doing the right things)</w:t>
      </w:r>
      <w:r w:rsidR="002041AD" w:rsidRPr="008D017E">
        <w:rPr>
          <w:rStyle w:val="e24kjd"/>
          <w:rFonts w:ascii="Times New Roman" w:hAnsi="Times New Roman" w:cs="Times New Roman"/>
          <w:noProof/>
          <w:sz w:val="24"/>
          <w:szCs w:val="24"/>
        </w:rPr>
        <w:t xml:space="preserve">, khususnya di situasi </w:t>
      </w:r>
      <w:r w:rsidR="002041AD" w:rsidRPr="008D017E">
        <w:rPr>
          <w:rStyle w:val="e24kjd"/>
          <w:rFonts w:ascii="Times New Roman" w:hAnsi="Times New Roman" w:cs="Times New Roman"/>
          <w:noProof/>
          <w:sz w:val="24"/>
          <w:szCs w:val="24"/>
        </w:rPr>
        <w:lastRenderedPageBreak/>
        <w:t>layanan kesehatan. Kemampuan teknis ini antara lain</w:t>
      </w:r>
      <w:r w:rsidR="002041AD" w:rsidRPr="008D017E">
        <w:rPr>
          <w:rStyle w:val="e24kjd"/>
          <w:rFonts w:ascii="Times New Roman" w:hAnsi="Times New Roman" w:cs="Times New Roman"/>
          <w:noProof/>
          <w:sz w:val="24"/>
          <w:szCs w:val="24"/>
          <w:lang w:val="id-ID"/>
        </w:rPr>
        <w:t xml:space="preserve"> mengajar dengan waktu yang efisien</w:t>
      </w:r>
      <w:r w:rsidR="002041AD" w:rsidRPr="008D017E">
        <w:rPr>
          <w:rStyle w:val="e24kjd"/>
          <w:rFonts w:ascii="Times New Roman" w:hAnsi="Times New Roman" w:cs="Times New Roman"/>
          <w:noProof/>
          <w:sz w:val="24"/>
          <w:szCs w:val="24"/>
        </w:rPr>
        <w:t xml:space="preserve"> dan</w:t>
      </w:r>
      <w:r w:rsidR="002041AD" w:rsidRPr="008D017E">
        <w:rPr>
          <w:rStyle w:val="e24kjd"/>
          <w:rFonts w:ascii="Times New Roman" w:hAnsi="Times New Roman" w:cs="Times New Roman"/>
          <w:noProof/>
          <w:sz w:val="24"/>
          <w:szCs w:val="24"/>
          <w:lang w:val="id-ID"/>
        </w:rPr>
        <w:t xml:space="preserve"> mampu mengajar dalam berbagai </w:t>
      </w:r>
      <w:r w:rsidR="002041AD" w:rsidRPr="008D017E">
        <w:rPr>
          <w:rStyle w:val="e24kjd"/>
          <w:rFonts w:ascii="Times New Roman" w:hAnsi="Times New Roman" w:cs="Times New Roman"/>
          <w:i/>
          <w:noProof/>
          <w:sz w:val="24"/>
          <w:szCs w:val="24"/>
          <w:lang w:val="id-ID"/>
        </w:rPr>
        <w:t>setting</w:t>
      </w:r>
      <w:r w:rsidR="002041AD" w:rsidRPr="008D017E">
        <w:rPr>
          <w:rStyle w:val="e24kjd"/>
          <w:rFonts w:ascii="Times New Roman" w:hAnsi="Times New Roman" w:cs="Times New Roman"/>
          <w:noProof/>
          <w:sz w:val="24"/>
          <w:szCs w:val="24"/>
          <w:lang w:val="id-ID"/>
        </w:rPr>
        <w:t xml:space="preserve"> klinis (rawat jalan, rawat inap, </w:t>
      </w:r>
      <w:r w:rsidR="002041AD" w:rsidRPr="008D017E">
        <w:rPr>
          <w:rStyle w:val="e24kjd"/>
          <w:rFonts w:ascii="Times New Roman" w:hAnsi="Times New Roman" w:cs="Times New Roman"/>
          <w:i/>
          <w:noProof/>
          <w:sz w:val="24"/>
          <w:szCs w:val="24"/>
          <w:lang w:val="id-ID"/>
        </w:rPr>
        <w:t>bedside</w:t>
      </w:r>
      <w:r w:rsidR="002041AD" w:rsidRPr="008D017E">
        <w:rPr>
          <w:rStyle w:val="e24kjd"/>
          <w:rFonts w:ascii="Times New Roman" w:hAnsi="Times New Roman" w:cs="Times New Roman"/>
          <w:noProof/>
          <w:sz w:val="24"/>
          <w:szCs w:val="24"/>
          <w:lang w:val="id-ID"/>
        </w:rPr>
        <w:t>), mampu melakukan penilaian berbasis lingkungan kerja serta memberikan umpan balik</w:t>
      </w:r>
      <w:r w:rsidR="002041AD" w:rsidRPr="008D017E">
        <w:rPr>
          <w:rStyle w:val="e24kjd"/>
          <w:rFonts w:ascii="Times New Roman" w:hAnsi="Times New Roman" w:cs="Times New Roman"/>
          <w:noProof/>
          <w:sz w:val="24"/>
          <w:szCs w:val="24"/>
        </w:rPr>
        <w:t xml:space="preserve">.  Pada lingkaran kedua, seorang pendidik harus melaksanakan tugas mengajarnya dengan pendekatan yang tepat </w:t>
      </w:r>
      <w:r w:rsidR="002041AD" w:rsidRPr="008D017E">
        <w:rPr>
          <w:rStyle w:val="e24kjd"/>
          <w:rFonts w:ascii="Times New Roman" w:hAnsi="Times New Roman" w:cs="Times New Roman"/>
          <w:i/>
          <w:noProof/>
          <w:sz w:val="24"/>
          <w:szCs w:val="24"/>
        </w:rPr>
        <w:t>(doing the things right)</w:t>
      </w:r>
      <w:r w:rsidR="002041AD" w:rsidRPr="008D017E">
        <w:rPr>
          <w:rStyle w:val="e24kjd"/>
          <w:rFonts w:ascii="Times New Roman" w:hAnsi="Times New Roman" w:cs="Times New Roman"/>
          <w:noProof/>
          <w:sz w:val="24"/>
          <w:szCs w:val="24"/>
        </w:rPr>
        <w:t xml:space="preserve"> seperti memahami prinsip pembelajaran yang melatarbelakangi teknik yang digunakan, serta dapat memanfaatkan momen tidak terduga untuk pembelajaran, seperti yang sering terjadi di situasi pelayanan klinis. Di lingkaran terluar, seorang pendidik harus dapat menunjukkan profesionalisme dalam tugasnya sebagai pengajar </w:t>
      </w:r>
      <w:r w:rsidR="002041AD" w:rsidRPr="008D017E">
        <w:rPr>
          <w:rStyle w:val="e24kjd"/>
          <w:rFonts w:ascii="Times New Roman" w:hAnsi="Times New Roman" w:cs="Times New Roman"/>
          <w:i/>
          <w:noProof/>
          <w:sz w:val="24"/>
          <w:szCs w:val="24"/>
        </w:rPr>
        <w:t>(the right person doing it)</w:t>
      </w:r>
      <w:r w:rsidR="002041AD" w:rsidRPr="008D017E">
        <w:rPr>
          <w:rStyle w:val="e24kjd"/>
          <w:rFonts w:ascii="Times New Roman" w:hAnsi="Times New Roman" w:cs="Times New Roman"/>
          <w:noProof/>
          <w:sz w:val="24"/>
          <w:szCs w:val="24"/>
        </w:rPr>
        <w:t xml:space="preserve"> </w:t>
      </w:r>
      <w:r w:rsidRPr="008D017E">
        <w:rPr>
          <w:rStyle w:val="e24kjd"/>
          <w:rFonts w:ascii="Times New Roman" w:hAnsi="Times New Roman" w:cs="Times New Roman"/>
          <w:i/>
          <w:noProof/>
          <w:sz w:val="24"/>
          <w:szCs w:val="24"/>
          <w:lang w:val="id-ID"/>
        </w:rPr>
        <w:fldChar w:fldCharType="begin" w:fldLock="1"/>
      </w:r>
      <w:r w:rsidR="00BC64B3" w:rsidRPr="008D017E">
        <w:rPr>
          <w:rStyle w:val="e24kjd"/>
          <w:rFonts w:ascii="Times New Roman" w:hAnsi="Times New Roman" w:cs="Times New Roman"/>
          <w:i/>
          <w:noProof/>
          <w:sz w:val="24"/>
          <w:szCs w:val="24"/>
          <w:lang w:val="id-ID"/>
        </w:rPr>
        <w:instrText>ADDIN CSL_CITATION {"citationItems":[{"id":"ITEM-1","itemData":{"DOI":"10.1080/01421590802061613","ISBN":"1466-187X","ISSN":"0142159X","PMID":"18569655","abstract":"Teaching in the clinical environment is a demanding, complex and often frustrating task, a task many clinicians assume without adequate preparation or orientation. Twelve roles have previously been described for medical teachers, grouped into six major tasks: (1) the information provider; (2) the role model; (3) the facilitator; (4) the assessor; (5) the curriculum and course planner; and (6) the resource material creator (Harden &amp; Crosby 2000). It is clear that many of these roles require a teacher to be more than a medical expert. In a pure educational setting, teachers may have limited roles, but the clinical teacher often plays many roles simultaneously, switching from one role to another during the same encounter. The large majority of clinical teachers around the world have received rigorous training in medical knowledge and skills but little to none in teaching. As physicians become ever busier in their own clinical practice, being effective teachers becomes more challenging in the context of expanding clinical responsibilities and shrinking time for teaching (Prideaux et al. 2000). Clinicians on the frontline are often unaware of educational mandates from licensing and accreditation bodies as well as medical schools and postgraduate training programmes and this has major implications for staff training. Institutions need to provide necessary orientation and training for their clinical teachers. This Guide looks at the many challenges for teachers in the clinical environment, application of relevant educational theories to the clinical context and practical teaching tips for clinical teachers. This guide will concentrate on the hospital setting as teaching within the community is the subject of another AMEE guide.","author":[{"dropping-particle":"","family":"Ramani","given":"Subha","non-dropping-particle":"","parse-names":false,"suffix":""},{"dropping-particle":"","family":"Leinster","given":"Sam","non-dropping-particle":"","parse-names":false,"suffix":""}],"container-title":"Medical Teacher","id":"ITEM-1","issue":"4","issued":{"date-parts":[["2008"]]},"page":"347-364","title":"AMEE guide no. 34: Teaching in the clinical environment","type":"article-journal","volume":"30"},"uris":["http://www.mendeley.com/documents/?uuid=d85260dd-9c2d-4c0b-81df-59ceb0156107"]},{"id":"ITEM-2","itemData":{"ISBN":"9780702068942","author":[{"dropping-particle":"","family":"Harden","given":"Ronald M.","non-dropping-particle":"","parse-names":false,"suffix":""},{"dropping-particle":"","family":"Lilley","given":"Pat","non-dropping-particle":"","parse-names":false,"suffix":""}],"id":"ITEM-2","issued":{"date-parts":[["2018"]]},"number-of-pages":"304","publisher":"Elsevier Health Sciences","title":"The eight roles of medical teacher: The purpose and function of a teacher in the healthcare professions","type":"book"},"uris":["http://www.mendeley.com/documents/?uuid=5663e721-9554-4141-84cc-9f80a81d0c59"]}],"mendeley":{"formattedCitation":"(Ramani and Leinster, 2008; Harden and Lilley, 2018)","plainTextFormattedCitation":"(Ramani and Leinster, 2008; Harden and Lilley, 2018)","previouslyFormattedCitation":"(Ramani and Leinster, 2008; Harden and Lilley, 2018)"},"properties":{"noteIndex":0},"schema":"https://github.com/citation-style-language/schema/raw/master/csl-citation.json"}</w:instrText>
      </w:r>
      <w:r w:rsidRPr="008D017E">
        <w:rPr>
          <w:rStyle w:val="e24kjd"/>
          <w:rFonts w:ascii="Times New Roman" w:hAnsi="Times New Roman" w:cs="Times New Roman"/>
          <w:i/>
          <w:noProof/>
          <w:sz w:val="24"/>
          <w:szCs w:val="24"/>
          <w:lang w:val="id-ID"/>
        </w:rPr>
        <w:fldChar w:fldCharType="separate"/>
      </w:r>
      <w:r w:rsidR="00BC64B3" w:rsidRPr="008D017E">
        <w:rPr>
          <w:rStyle w:val="e24kjd"/>
          <w:rFonts w:ascii="Times New Roman" w:hAnsi="Times New Roman" w:cs="Times New Roman"/>
          <w:noProof/>
          <w:sz w:val="24"/>
          <w:szCs w:val="24"/>
          <w:lang w:val="id-ID"/>
        </w:rPr>
        <w:t>(Ramani and Leinster, 2008; Harden and Lilley, 2018)</w:t>
      </w:r>
      <w:r w:rsidRPr="008D017E">
        <w:rPr>
          <w:rStyle w:val="e24kjd"/>
          <w:rFonts w:ascii="Times New Roman" w:hAnsi="Times New Roman" w:cs="Times New Roman"/>
          <w:i/>
          <w:noProof/>
          <w:sz w:val="24"/>
          <w:szCs w:val="24"/>
          <w:lang w:val="id-ID"/>
        </w:rPr>
        <w:fldChar w:fldCharType="end"/>
      </w:r>
      <w:r w:rsidRPr="008D017E">
        <w:rPr>
          <w:rStyle w:val="e24kjd"/>
          <w:rFonts w:ascii="Times New Roman" w:hAnsi="Times New Roman" w:cs="Times New Roman"/>
          <w:noProof/>
          <w:sz w:val="24"/>
          <w:szCs w:val="24"/>
          <w:lang w:val="id-ID"/>
        </w:rPr>
        <w:t xml:space="preserve">. </w:t>
      </w:r>
      <w:r w:rsidR="00197377" w:rsidRPr="008D017E">
        <w:rPr>
          <w:rStyle w:val="e24kjd"/>
          <w:rFonts w:ascii="Times New Roman" w:hAnsi="Times New Roman" w:cs="Times New Roman"/>
          <w:noProof/>
          <w:sz w:val="24"/>
          <w:szCs w:val="24"/>
          <w:lang w:val="id-ID"/>
        </w:rPr>
        <w:t xml:space="preserve">Kompetensi </w:t>
      </w:r>
      <w:r w:rsidR="00197377" w:rsidRPr="008D017E">
        <w:rPr>
          <w:rStyle w:val="e24kjd"/>
          <w:rFonts w:ascii="Times New Roman" w:hAnsi="Times New Roman" w:cs="Times New Roman"/>
          <w:noProof/>
          <w:sz w:val="24"/>
          <w:szCs w:val="24"/>
        </w:rPr>
        <w:t xml:space="preserve">yang diperlukan untuk melaksanakan tugas sebagai pendidik klinis </w:t>
      </w:r>
      <w:r w:rsidR="0007475B" w:rsidRPr="008D017E">
        <w:rPr>
          <w:rStyle w:val="e24kjd"/>
          <w:rFonts w:ascii="Times New Roman" w:hAnsi="Times New Roman" w:cs="Times New Roman"/>
          <w:noProof/>
          <w:sz w:val="24"/>
          <w:szCs w:val="24"/>
        </w:rPr>
        <w:t>memiliki kekhususan yang berbeda dari kompetensi pendidik pada program pendidikan tinggi pada umumnya.</w:t>
      </w:r>
      <w:r w:rsidR="00197377" w:rsidRPr="008D017E">
        <w:rPr>
          <w:rStyle w:val="e24kjd"/>
          <w:rFonts w:ascii="Times New Roman" w:hAnsi="Times New Roman" w:cs="Times New Roman"/>
          <w:noProof/>
          <w:sz w:val="24"/>
          <w:szCs w:val="24"/>
          <w:lang w:val="id-ID"/>
        </w:rPr>
        <w:t xml:space="preserve"> </w:t>
      </w:r>
    </w:p>
    <w:p w:rsidR="00F26FB4" w:rsidRPr="008D017E" w:rsidRDefault="00BC64B3" w:rsidP="00DA082B">
      <w:pPr>
        <w:jc w:val="both"/>
        <w:rPr>
          <w:rStyle w:val="e24kjd"/>
          <w:rFonts w:ascii="Times New Roman" w:hAnsi="Times New Roman" w:cs="Times New Roman"/>
          <w:noProof/>
          <w:sz w:val="24"/>
          <w:szCs w:val="24"/>
        </w:rPr>
      </w:pPr>
      <w:r w:rsidRPr="008D017E">
        <w:rPr>
          <w:rStyle w:val="e24kjd"/>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1F7966" wp14:editId="3F811952">
                <wp:simplePos x="0" y="0"/>
                <wp:positionH relativeFrom="column">
                  <wp:posOffset>768350</wp:posOffset>
                </wp:positionH>
                <wp:positionV relativeFrom="paragraph">
                  <wp:posOffset>2708275</wp:posOffset>
                </wp:positionV>
                <wp:extent cx="5276850" cy="635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635000"/>
                        </a:xfrm>
                        <a:prstGeom prst="rect">
                          <a:avLst/>
                        </a:prstGeom>
                        <a:solidFill>
                          <a:srgbClr val="FFFFFF"/>
                        </a:solidFill>
                        <a:ln w="9525">
                          <a:noFill/>
                          <a:miter lim="800000"/>
                          <a:headEnd/>
                          <a:tailEnd/>
                        </a:ln>
                      </wps:spPr>
                      <wps:txbx>
                        <w:txbxContent>
                          <w:p w:rsidR="00197377" w:rsidRDefault="00197377" w:rsidP="00BC64B3">
                            <w:pPr>
                              <w:jc w:val="right"/>
                            </w:pPr>
                            <w:proofErr w:type="spellStart"/>
                            <w:proofErr w:type="gramStart"/>
                            <w:r>
                              <w:t>Gambar</w:t>
                            </w:r>
                            <w:proofErr w:type="spellEnd"/>
                            <w:r>
                              <w:t xml:space="preserve"> 1.</w:t>
                            </w:r>
                            <w:proofErr w:type="gramEnd"/>
                            <w:r>
                              <w:t xml:space="preserve"> </w:t>
                            </w:r>
                            <w:proofErr w:type="spellStart"/>
                            <w:r>
                              <w:t>Aplikasi</w:t>
                            </w:r>
                            <w:proofErr w:type="spellEnd"/>
                            <w:r>
                              <w:t xml:space="preserve"> model </w:t>
                            </w:r>
                            <w:proofErr w:type="spellStart"/>
                            <w:r>
                              <w:t>tiga</w:t>
                            </w:r>
                            <w:proofErr w:type="spellEnd"/>
                            <w:r>
                              <w:t xml:space="preserve"> </w:t>
                            </w:r>
                            <w:proofErr w:type="spellStart"/>
                            <w:r>
                              <w:t>lingkaran</w:t>
                            </w:r>
                            <w:proofErr w:type="spellEnd"/>
                            <w:r>
                              <w:t xml:space="preserve"> </w:t>
                            </w:r>
                            <w:r w:rsidRPr="00197377">
                              <w:rPr>
                                <w:i/>
                              </w:rPr>
                              <w:t>outcome</w:t>
                            </w:r>
                            <w:r>
                              <w:t xml:space="preserve"> </w:t>
                            </w:r>
                            <w:proofErr w:type="spellStart"/>
                            <w:r>
                              <w:t>terhadap</w:t>
                            </w:r>
                            <w:proofErr w:type="spellEnd"/>
                            <w:r>
                              <w:t xml:space="preserve"> </w:t>
                            </w:r>
                            <w:proofErr w:type="spellStart"/>
                            <w:r>
                              <w:t>pendidik</w:t>
                            </w:r>
                            <w:proofErr w:type="spellEnd"/>
                            <w:r>
                              <w:t xml:space="preserve"> </w:t>
                            </w:r>
                            <w:proofErr w:type="spellStart"/>
                            <w:r>
                              <w:t>klinis</w:t>
                            </w:r>
                            <w:proofErr w:type="spellEnd"/>
                          </w:p>
                          <w:p w:rsidR="00BC64B3" w:rsidRDefault="00BC64B3" w:rsidP="00BC64B3">
                            <w:pPr>
                              <w:jc w:val="right"/>
                            </w:pPr>
                            <w:proofErr w:type="spellStart"/>
                            <w:r>
                              <w:t>Diadaptasi</w:t>
                            </w:r>
                            <w:proofErr w:type="spellEnd"/>
                            <w:r>
                              <w:t xml:space="preserve"> </w:t>
                            </w:r>
                            <w:proofErr w:type="spellStart"/>
                            <w:r>
                              <w:t>dari</w:t>
                            </w:r>
                            <w:proofErr w:type="spellEnd"/>
                            <w:r>
                              <w:t xml:space="preserve"> </w:t>
                            </w:r>
                            <w:proofErr w:type="spellStart"/>
                            <w:r>
                              <w:t>Ramani</w:t>
                            </w:r>
                            <w:proofErr w:type="spellEnd"/>
                            <w:r>
                              <w:t xml:space="preserve"> &amp; Leinster (2008)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5pt;margin-top:213.25pt;width:415.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" stroked="f">
                <v:textbox>
                  <w:txbxContent>
                    <w:p w:rsidR="00197377" w:rsidRDefault="00197377" w:rsidP="00BC64B3">
                      <w:pPr>
                        <w:jc w:val="right"/>
                      </w:pPr>
                      <w:proofErr w:type="spellStart"/>
                      <w:proofErr w:type="gramStart"/>
                      <w:r>
                        <w:t>Gambar</w:t>
                      </w:r>
                      <w:proofErr w:type="spellEnd"/>
                      <w:r>
                        <w:t xml:space="preserve"> 1.</w:t>
                      </w:r>
                      <w:proofErr w:type="gramEnd"/>
                      <w:r>
                        <w:t xml:space="preserve"> </w:t>
                      </w:r>
                      <w:proofErr w:type="spellStart"/>
                      <w:r>
                        <w:t>Aplikasi</w:t>
                      </w:r>
                      <w:proofErr w:type="spellEnd"/>
                      <w:r>
                        <w:t xml:space="preserve"> model </w:t>
                      </w:r>
                      <w:proofErr w:type="spellStart"/>
                      <w:r>
                        <w:t>tiga</w:t>
                      </w:r>
                      <w:proofErr w:type="spellEnd"/>
                      <w:r>
                        <w:t xml:space="preserve"> </w:t>
                      </w:r>
                      <w:proofErr w:type="spellStart"/>
                      <w:r>
                        <w:t>lingkaran</w:t>
                      </w:r>
                      <w:proofErr w:type="spellEnd"/>
                      <w:r>
                        <w:t xml:space="preserve"> </w:t>
                      </w:r>
                      <w:r w:rsidRPr="00197377">
                        <w:rPr>
                          <w:i/>
                        </w:rPr>
                        <w:t>outcome</w:t>
                      </w:r>
                      <w:r>
                        <w:t xml:space="preserve"> </w:t>
                      </w:r>
                      <w:proofErr w:type="spellStart"/>
                      <w:r>
                        <w:t>terhadap</w:t>
                      </w:r>
                      <w:proofErr w:type="spellEnd"/>
                      <w:r>
                        <w:t xml:space="preserve"> </w:t>
                      </w:r>
                      <w:proofErr w:type="spellStart"/>
                      <w:r>
                        <w:t>pendidik</w:t>
                      </w:r>
                      <w:proofErr w:type="spellEnd"/>
                      <w:r>
                        <w:t xml:space="preserve"> </w:t>
                      </w:r>
                      <w:proofErr w:type="spellStart"/>
                      <w:r>
                        <w:t>klinis</w:t>
                      </w:r>
                      <w:proofErr w:type="spellEnd"/>
                    </w:p>
                    <w:p w:rsidR="00BC64B3" w:rsidRDefault="00BC64B3" w:rsidP="00BC64B3">
                      <w:pPr>
                        <w:jc w:val="right"/>
                      </w:pPr>
                      <w:proofErr w:type="spellStart"/>
                      <w:r>
                        <w:t>Diadaptasi</w:t>
                      </w:r>
                      <w:proofErr w:type="spellEnd"/>
                      <w:r>
                        <w:t xml:space="preserve"> </w:t>
                      </w:r>
                      <w:proofErr w:type="spellStart"/>
                      <w:r>
                        <w:t>dari</w:t>
                      </w:r>
                      <w:proofErr w:type="spellEnd"/>
                      <w:r>
                        <w:t xml:space="preserve"> </w:t>
                      </w:r>
                      <w:proofErr w:type="spellStart"/>
                      <w:r>
                        <w:t>Ramani</w:t>
                      </w:r>
                      <w:proofErr w:type="spellEnd"/>
                      <w:r>
                        <w:t xml:space="preserve"> &amp; Leinster (2008)</w:t>
                      </w:r>
                    </w:p>
                  </w:txbxContent>
                </v:textbox>
              </v:shape>
            </w:pict>
          </mc:Fallback>
        </mc:AlternateContent>
      </w:r>
      <w:r w:rsidR="00F26FB4" w:rsidRPr="008D017E">
        <w:rPr>
          <w:rFonts w:ascii="Times New Roman" w:hAnsi="Times New Roman" w:cs="Times New Roman"/>
          <w:noProof/>
          <w:sz w:val="24"/>
          <w:szCs w:val="24"/>
        </w:rPr>
        <w:drawing>
          <wp:inline distT="0" distB="0" distL="0" distR="0" wp14:anchorId="56B53268" wp14:editId="005BB4E6">
            <wp:extent cx="5943600" cy="2600960"/>
            <wp:effectExtent l="57150" t="19050" r="19050" b="8509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26FB4" w:rsidRPr="008D017E" w:rsidRDefault="00F26FB4" w:rsidP="00DA082B">
      <w:pPr>
        <w:jc w:val="both"/>
        <w:rPr>
          <w:rStyle w:val="e24kjd"/>
          <w:rFonts w:ascii="Times New Roman" w:hAnsi="Times New Roman" w:cs="Times New Roman"/>
          <w:noProof/>
          <w:sz w:val="24"/>
          <w:szCs w:val="24"/>
        </w:rPr>
      </w:pPr>
    </w:p>
    <w:p w:rsidR="009575A9" w:rsidRPr="008D017E" w:rsidRDefault="009575A9" w:rsidP="00DA082B">
      <w:pPr>
        <w:jc w:val="both"/>
        <w:rPr>
          <w:rFonts w:ascii="Times New Roman" w:hAnsi="Times New Roman" w:cs="Times New Roman"/>
          <w:noProof/>
          <w:sz w:val="24"/>
          <w:szCs w:val="24"/>
        </w:rPr>
      </w:pPr>
    </w:p>
    <w:p w:rsidR="00DA082B" w:rsidRPr="008D017E" w:rsidRDefault="00DA082B" w:rsidP="00DA082B">
      <w:pPr>
        <w:jc w:val="both"/>
        <w:rPr>
          <w:rFonts w:ascii="Times New Roman" w:hAnsi="Times New Roman" w:cs="Times New Roman"/>
          <w:noProof/>
          <w:sz w:val="24"/>
          <w:szCs w:val="24"/>
        </w:rPr>
      </w:pPr>
      <w:r w:rsidRPr="008D017E">
        <w:rPr>
          <w:rFonts w:ascii="Times New Roman" w:hAnsi="Times New Roman" w:cs="Times New Roman"/>
          <w:noProof/>
          <w:sz w:val="24"/>
          <w:szCs w:val="24"/>
          <w:lang w:val="id-ID"/>
        </w:rPr>
        <w:t xml:space="preserve">Berbeda dari kebanyakan rumah sakit yang menjadikan pelayanan sebagai pilar utama, Rumah Sakit Universitas Mataram (RS UNRAM) sebagai rumah sakit perguruan tinggi negeri perlu memperkuat pilar pendidikan yang merupakan inti kegiatan di universitas. Sejak tahun 2019, RS UNRAM mulai menerima mahasiswa pendidikan profesi dokter untuk menjalani sebagian rotasi klinis di dua bagian. Pada tahun 2020 semua bagian klinis </w:t>
      </w:r>
      <w:r w:rsidR="00197377" w:rsidRPr="008D017E">
        <w:rPr>
          <w:rFonts w:ascii="Times New Roman" w:hAnsi="Times New Roman" w:cs="Times New Roman"/>
          <w:noProof/>
          <w:sz w:val="24"/>
          <w:szCs w:val="24"/>
        </w:rPr>
        <w:t xml:space="preserve">diharapkan telah </w:t>
      </w:r>
      <w:r w:rsidRPr="008D017E">
        <w:rPr>
          <w:rFonts w:ascii="Times New Roman" w:hAnsi="Times New Roman" w:cs="Times New Roman"/>
          <w:noProof/>
          <w:sz w:val="24"/>
          <w:szCs w:val="24"/>
          <w:lang w:val="id-ID"/>
        </w:rPr>
        <w:t>siap untuk menjalankan fungsi pendidikan meskipun belum menjadi RS pendidikan utama. Untuk itu, dokter klinisi di RS UNRAM perlu dipersiapkan sebagai pendidik klinis yang unggul, salah satunya melalui kegiatan pelatihan.</w:t>
      </w:r>
    </w:p>
    <w:p w:rsidR="00B86388" w:rsidRPr="00EC3469" w:rsidRDefault="00BA4B3D" w:rsidP="00EC3469">
      <w:pPr>
        <w:spacing w:after="0" w:line="360" w:lineRule="auto"/>
        <w:jc w:val="both"/>
        <w:rPr>
          <w:rFonts w:ascii="Times New Roman" w:hAnsi="Times New Roman" w:cs="Times New Roman"/>
          <w:noProof/>
          <w:sz w:val="24"/>
          <w:szCs w:val="24"/>
        </w:rPr>
      </w:pPr>
      <w:r w:rsidRPr="008D017E">
        <w:rPr>
          <w:rFonts w:ascii="Times New Roman" w:hAnsi="Times New Roman" w:cs="Times New Roman"/>
          <w:noProof/>
          <w:sz w:val="24"/>
          <w:szCs w:val="24"/>
          <w:lang w:val="id-ID"/>
        </w:rPr>
        <w:t>Pelatihan ini bertujuan untuk meningkatkan kompetensi dokter dan tenaga kesehatan di RS UNRAM sebagai pendidik klinis, khususnya pada program pendidikan profesi dokter di Fakultas Kedokteran Universitas Mataram.</w:t>
      </w:r>
      <w:r w:rsidR="009575A9" w:rsidRPr="008D017E">
        <w:rPr>
          <w:rFonts w:ascii="Times New Roman" w:hAnsi="Times New Roman" w:cs="Times New Roman"/>
          <w:noProof/>
          <w:sz w:val="24"/>
          <w:szCs w:val="24"/>
          <w:lang w:val="id-ID"/>
        </w:rPr>
        <w:t xml:space="preserve"> Pelatihan ini menekankan pada empat </w:t>
      </w:r>
      <w:r w:rsidR="009575A9" w:rsidRPr="008D017E">
        <w:rPr>
          <w:rFonts w:ascii="Times New Roman" w:hAnsi="Times New Roman" w:cs="Times New Roman"/>
          <w:noProof/>
          <w:sz w:val="24"/>
          <w:szCs w:val="24"/>
          <w:lang w:val="id-ID"/>
        </w:rPr>
        <w:lastRenderedPageBreak/>
        <w:t xml:space="preserve">keterampilan mendasar yang perlu dimiliki pendidik klinis yaitu perencanaan pembelajaran klinis,  komunikasi dan interaksi, penilaian berbasis tempat kerja </w:t>
      </w:r>
      <w:r w:rsidR="009575A9" w:rsidRPr="008D017E">
        <w:rPr>
          <w:rFonts w:ascii="Times New Roman" w:hAnsi="Times New Roman" w:cs="Times New Roman"/>
          <w:i/>
          <w:noProof/>
          <w:sz w:val="24"/>
          <w:szCs w:val="24"/>
          <w:lang w:val="id-ID"/>
        </w:rPr>
        <w:t>(workplace-based assessment)</w:t>
      </w:r>
      <w:r w:rsidR="00EC3469">
        <w:rPr>
          <w:rFonts w:ascii="Times New Roman" w:hAnsi="Times New Roman" w:cs="Times New Roman"/>
          <w:noProof/>
          <w:sz w:val="24"/>
          <w:szCs w:val="24"/>
          <w:lang w:val="id-ID"/>
        </w:rPr>
        <w:t>, dan memberikan umpan balik.</w:t>
      </w:r>
    </w:p>
    <w:p w:rsidR="00B86388" w:rsidRPr="008D017E" w:rsidRDefault="00CC25AD" w:rsidP="00EC3469">
      <w:pPr>
        <w:pStyle w:val="Heading1"/>
        <w:spacing w:before="0"/>
        <w:jc w:val="center"/>
        <w:rPr>
          <w:rFonts w:ascii="Times New Roman" w:eastAsia="Calibri" w:hAnsi="Times New Roman" w:cs="Times New Roman"/>
          <w:noProof/>
          <w:color w:val="000000" w:themeColor="text1"/>
          <w:sz w:val="24"/>
          <w:szCs w:val="24"/>
          <w:lang w:val="id-ID"/>
        </w:rPr>
      </w:pPr>
      <w:r w:rsidRPr="008D017E">
        <w:rPr>
          <w:rFonts w:ascii="Times New Roman" w:eastAsia="Calibri" w:hAnsi="Times New Roman" w:cs="Times New Roman"/>
          <w:noProof/>
          <w:color w:val="000000" w:themeColor="text1"/>
          <w:sz w:val="24"/>
          <w:szCs w:val="24"/>
          <w:lang w:val="id-ID"/>
        </w:rPr>
        <w:t>M</w:t>
      </w:r>
      <w:r w:rsidRPr="008D017E">
        <w:rPr>
          <w:rFonts w:ascii="Times New Roman" w:eastAsia="Calibri" w:hAnsi="Times New Roman" w:cs="Times New Roman"/>
          <w:noProof/>
          <w:color w:val="000000" w:themeColor="text1"/>
          <w:spacing w:val="-1"/>
          <w:sz w:val="24"/>
          <w:szCs w:val="24"/>
          <w:lang w:val="id-ID"/>
        </w:rPr>
        <w:t>E</w:t>
      </w:r>
      <w:r w:rsidRPr="008D017E">
        <w:rPr>
          <w:rFonts w:ascii="Times New Roman" w:eastAsia="Calibri" w:hAnsi="Times New Roman" w:cs="Times New Roman"/>
          <w:noProof/>
          <w:color w:val="000000" w:themeColor="text1"/>
          <w:spacing w:val="1"/>
          <w:sz w:val="24"/>
          <w:szCs w:val="24"/>
          <w:lang w:val="id-ID"/>
        </w:rPr>
        <w:t>T</w:t>
      </w:r>
      <w:r w:rsidRPr="008D017E">
        <w:rPr>
          <w:rFonts w:ascii="Times New Roman" w:eastAsia="Calibri" w:hAnsi="Times New Roman" w:cs="Times New Roman"/>
          <w:noProof/>
          <w:color w:val="000000" w:themeColor="text1"/>
          <w:spacing w:val="-1"/>
          <w:sz w:val="24"/>
          <w:szCs w:val="24"/>
          <w:lang w:val="id-ID"/>
        </w:rPr>
        <w:t>O</w:t>
      </w:r>
      <w:r w:rsidRPr="008D017E">
        <w:rPr>
          <w:rFonts w:ascii="Times New Roman" w:eastAsia="Calibri" w:hAnsi="Times New Roman" w:cs="Times New Roman"/>
          <w:noProof/>
          <w:color w:val="000000" w:themeColor="text1"/>
          <w:sz w:val="24"/>
          <w:szCs w:val="24"/>
          <w:lang w:val="id-ID"/>
        </w:rPr>
        <w:t>DE</w:t>
      </w:r>
      <w:r w:rsidRPr="008D017E">
        <w:rPr>
          <w:rFonts w:ascii="Times New Roman" w:eastAsia="Calibri" w:hAnsi="Times New Roman" w:cs="Times New Roman"/>
          <w:noProof/>
          <w:color w:val="000000" w:themeColor="text1"/>
          <w:spacing w:val="-4"/>
          <w:sz w:val="24"/>
          <w:szCs w:val="24"/>
          <w:lang w:val="id-ID"/>
        </w:rPr>
        <w:t xml:space="preserve"> </w:t>
      </w:r>
      <w:r w:rsidRPr="008D017E">
        <w:rPr>
          <w:rFonts w:ascii="Times New Roman" w:eastAsia="Calibri" w:hAnsi="Times New Roman" w:cs="Times New Roman"/>
          <w:noProof/>
          <w:color w:val="000000" w:themeColor="text1"/>
          <w:spacing w:val="-1"/>
          <w:w w:val="99"/>
          <w:sz w:val="24"/>
          <w:szCs w:val="24"/>
          <w:lang w:val="id-ID"/>
        </w:rPr>
        <w:t>K</w:t>
      </w:r>
      <w:r w:rsidRPr="008D017E">
        <w:rPr>
          <w:rFonts w:ascii="Times New Roman" w:eastAsia="Calibri" w:hAnsi="Times New Roman" w:cs="Times New Roman"/>
          <w:noProof/>
          <w:color w:val="000000" w:themeColor="text1"/>
          <w:sz w:val="24"/>
          <w:szCs w:val="24"/>
          <w:lang w:val="id-ID"/>
        </w:rPr>
        <w:t>E</w:t>
      </w:r>
      <w:r w:rsidRPr="008D017E">
        <w:rPr>
          <w:rFonts w:ascii="Times New Roman" w:eastAsia="Calibri" w:hAnsi="Times New Roman" w:cs="Times New Roman"/>
          <w:noProof/>
          <w:color w:val="000000" w:themeColor="text1"/>
          <w:spacing w:val="1"/>
          <w:sz w:val="24"/>
          <w:szCs w:val="24"/>
          <w:lang w:val="id-ID"/>
        </w:rPr>
        <w:t>G</w:t>
      </w:r>
      <w:r w:rsidRPr="008D017E">
        <w:rPr>
          <w:rFonts w:ascii="Times New Roman" w:eastAsia="Calibri" w:hAnsi="Times New Roman" w:cs="Times New Roman"/>
          <w:noProof/>
          <w:color w:val="000000" w:themeColor="text1"/>
          <w:spacing w:val="1"/>
          <w:w w:val="99"/>
          <w:sz w:val="24"/>
          <w:szCs w:val="24"/>
          <w:lang w:val="id-ID"/>
        </w:rPr>
        <w:t>I</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spacing w:val="1"/>
          <w:sz w:val="24"/>
          <w:szCs w:val="24"/>
          <w:lang w:val="id-ID"/>
        </w:rPr>
        <w:t>T</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w w:val="99"/>
          <w:sz w:val="24"/>
          <w:szCs w:val="24"/>
          <w:lang w:val="id-ID"/>
        </w:rPr>
        <w:t>N</w:t>
      </w:r>
    </w:p>
    <w:p w:rsidR="00B86388" w:rsidRPr="008D017E" w:rsidRDefault="00B86388">
      <w:pPr>
        <w:spacing w:before="5" w:after="0" w:line="200" w:lineRule="exact"/>
        <w:rPr>
          <w:rFonts w:ascii="Times New Roman" w:hAnsi="Times New Roman" w:cs="Times New Roman"/>
          <w:noProof/>
          <w:sz w:val="24"/>
          <w:szCs w:val="24"/>
          <w:lang w:val="id-ID"/>
        </w:rPr>
      </w:pPr>
    </w:p>
    <w:p w:rsidR="0065014B" w:rsidRPr="008D017E" w:rsidRDefault="00BA4B3D" w:rsidP="000C25A3">
      <w:pPr>
        <w:jc w:val="both"/>
        <w:rPr>
          <w:rFonts w:ascii="Times New Roman" w:eastAsia="Calibri" w:hAnsi="Times New Roman" w:cs="Times New Roman"/>
          <w:noProof/>
          <w:sz w:val="24"/>
          <w:szCs w:val="24"/>
        </w:rPr>
      </w:pPr>
      <w:r w:rsidRPr="008D017E">
        <w:rPr>
          <w:rFonts w:ascii="Times New Roman" w:eastAsia="Calibri" w:hAnsi="Times New Roman" w:cs="Times New Roman"/>
          <w:noProof/>
          <w:sz w:val="24"/>
          <w:szCs w:val="24"/>
        </w:rPr>
        <w:t xml:space="preserve">Kegiatan ini awalnya direncanakan untuk dilaksanakan secara tatap muka. Akan tetapi karena situasi pandemi COVID-19, format kegiatan diubah menjadi </w:t>
      </w:r>
      <w:r w:rsidR="00D85EDF" w:rsidRPr="008D017E">
        <w:rPr>
          <w:rFonts w:ascii="Times New Roman" w:eastAsia="Calibri" w:hAnsi="Times New Roman" w:cs="Times New Roman"/>
          <w:noProof/>
          <w:sz w:val="24"/>
          <w:szCs w:val="24"/>
        </w:rPr>
        <w:t>kegiatan</w:t>
      </w:r>
      <w:r w:rsidRPr="008D017E">
        <w:rPr>
          <w:rFonts w:ascii="Times New Roman" w:eastAsia="Calibri" w:hAnsi="Times New Roman" w:cs="Times New Roman"/>
          <w:noProof/>
          <w:sz w:val="24"/>
          <w:szCs w:val="24"/>
        </w:rPr>
        <w:t xml:space="preserve"> </w:t>
      </w:r>
      <w:r w:rsidR="00140C7F" w:rsidRPr="008D017E">
        <w:rPr>
          <w:rFonts w:ascii="Times New Roman" w:eastAsia="Calibri" w:hAnsi="Times New Roman" w:cs="Times New Roman"/>
          <w:noProof/>
          <w:sz w:val="24"/>
          <w:szCs w:val="24"/>
        </w:rPr>
        <w:t xml:space="preserve">secara </w:t>
      </w:r>
      <w:r w:rsidRPr="008D017E">
        <w:rPr>
          <w:rFonts w:ascii="Times New Roman" w:eastAsia="Calibri" w:hAnsi="Times New Roman" w:cs="Times New Roman"/>
          <w:noProof/>
          <w:sz w:val="24"/>
          <w:szCs w:val="24"/>
        </w:rPr>
        <w:t>daring</w:t>
      </w:r>
      <w:r w:rsidR="00D85EDF" w:rsidRPr="008D017E">
        <w:rPr>
          <w:rFonts w:ascii="Times New Roman" w:eastAsia="Calibri" w:hAnsi="Times New Roman" w:cs="Times New Roman"/>
          <w:noProof/>
          <w:sz w:val="24"/>
          <w:szCs w:val="24"/>
        </w:rPr>
        <w:t xml:space="preserve"> untuk mencegah penularan</w:t>
      </w:r>
      <w:r w:rsidRPr="008D017E">
        <w:rPr>
          <w:rFonts w:ascii="Times New Roman" w:eastAsia="Calibri" w:hAnsi="Times New Roman" w:cs="Times New Roman"/>
          <w:noProof/>
          <w:sz w:val="24"/>
          <w:szCs w:val="24"/>
        </w:rPr>
        <w:t xml:space="preserve">. </w:t>
      </w:r>
      <w:r w:rsidR="00D85EDF" w:rsidRPr="008D017E">
        <w:rPr>
          <w:rFonts w:ascii="Times New Roman" w:eastAsia="Calibri" w:hAnsi="Times New Roman" w:cs="Times New Roman"/>
          <w:noProof/>
          <w:sz w:val="24"/>
          <w:szCs w:val="24"/>
        </w:rPr>
        <w:t xml:space="preserve">Ada beberapa tahapan yang dilalui dalam penyelenggaraan kegiatan ini: 1) persiapan, 2) sosialisasi, 3) Gladi bersih, 4) Pelaksanaan, 5) Evaluasi dan 6) Penyelesaian administrasi kegiatan. </w:t>
      </w:r>
    </w:p>
    <w:p w:rsidR="0065014B" w:rsidRPr="008D017E" w:rsidRDefault="00D85EDF" w:rsidP="000C25A3">
      <w:pPr>
        <w:jc w:val="both"/>
        <w:rPr>
          <w:rFonts w:ascii="Times New Roman" w:eastAsia="Calibri" w:hAnsi="Times New Roman" w:cs="Times New Roman"/>
          <w:noProof/>
          <w:sz w:val="24"/>
          <w:szCs w:val="24"/>
        </w:rPr>
      </w:pPr>
      <w:r w:rsidRPr="008D017E">
        <w:rPr>
          <w:rFonts w:ascii="Times New Roman" w:eastAsia="Calibri" w:hAnsi="Times New Roman" w:cs="Times New Roman"/>
          <w:noProof/>
          <w:sz w:val="24"/>
          <w:szCs w:val="24"/>
        </w:rPr>
        <w:t xml:space="preserve">Pada </w:t>
      </w:r>
      <w:r w:rsidR="0088404A" w:rsidRPr="008D017E">
        <w:rPr>
          <w:rFonts w:ascii="Times New Roman" w:eastAsia="Calibri" w:hAnsi="Times New Roman" w:cs="Times New Roman"/>
          <w:noProof/>
          <w:sz w:val="24"/>
          <w:szCs w:val="24"/>
        </w:rPr>
        <w:t>tahap persiapan, tim pelaksana menentukan kemampuan akhir dan capaian pembelajaran yang hendak dicapai dari kegiatan ini, pembicara dan moderator, format evaluasi kegiatan, perijinan,  logistik pelaksanaan kegiatan secara daring</w:t>
      </w:r>
      <w:r w:rsidR="00D67996" w:rsidRPr="008D017E">
        <w:rPr>
          <w:rFonts w:ascii="Times New Roman" w:eastAsia="Calibri" w:hAnsi="Times New Roman" w:cs="Times New Roman"/>
          <w:noProof/>
          <w:sz w:val="24"/>
          <w:szCs w:val="24"/>
        </w:rPr>
        <w:t xml:space="preserve"> serta materi sosialisasi acara</w:t>
      </w:r>
      <w:r w:rsidR="0088404A" w:rsidRPr="008D017E">
        <w:rPr>
          <w:rFonts w:ascii="Times New Roman" w:eastAsia="Calibri" w:hAnsi="Times New Roman" w:cs="Times New Roman"/>
          <w:noProof/>
          <w:sz w:val="24"/>
          <w:szCs w:val="24"/>
        </w:rPr>
        <w:t xml:space="preserve">. </w:t>
      </w:r>
      <w:r w:rsidR="0088404A" w:rsidRPr="008D017E">
        <w:rPr>
          <w:rFonts w:ascii="Times New Roman" w:eastAsia="Calibri" w:hAnsi="Times New Roman" w:cs="Times New Roman"/>
          <w:i/>
          <w:noProof/>
          <w:sz w:val="24"/>
          <w:szCs w:val="24"/>
        </w:rPr>
        <w:t>P</w:t>
      </w:r>
      <w:r w:rsidRPr="008D017E">
        <w:rPr>
          <w:rFonts w:ascii="Times New Roman" w:eastAsia="Calibri" w:hAnsi="Times New Roman" w:cs="Times New Roman"/>
          <w:i/>
          <w:noProof/>
          <w:sz w:val="24"/>
          <w:szCs w:val="24"/>
        </w:rPr>
        <w:t>latform</w:t>
      </w:r>
      <w:r w:rsidRPr="008D017E">
        <w:rPr>
          <w:rFonts w:ascii="Times New Roman" w:eastAsia="Calibri" w:hAnsi="Times New Roman" w:cs="Times New Roman"/>
          <w:noProof/>
          <w:sz w:val="24"/>
          <w:szCs w:val="24"/>
        </w:rPr>
        <w:t xml:space="preserve"> yang dipilih </w:t>
      </w:r>
      <w:r w:rsidR="0088404A" w:rsidRPr="008D017E">
        <w:rPr>
          <w:rFonts w:ascii="Times New Roman" w:eastAsia="Calibri" w:hAnsi="Times New Roman" w:cs="Times New Roman"/>
          <w:noProof/>
          <w:sz w:val="24"/>
          <w:szCs w:val="24"/>
        </w:rPr>
        <w:t xml:space="preserve">dalam kegiatan ini </w:t>
      </w:r>
      <w:r w:rsidRPr="008D017E">
        <w:rPr>
          <w:rFonts w:ascii="Times New Roman" w:eastAsia="Calibri" w:hAnsi="Times New Roman" w:cs="Times New Roman"/>
          <w:noProof/>
          <w:sz w:val="24"/>
          <w:szCs w:val="24"/>
        </w:rPr>
        <w:t xml:space="preserve">adalah Zoom® webinar. Webinar </w:t>
      </w:r>
      <w:r w:rsidR="0088404A" w:rsidRPr="008D017E">
        <w:rPr>
          <w:rFonts w:ascii="Times New Roman" w:eastAsia="Calibri" w:hAnsi="Times New Roman" w:cs="Times New Roman"/>
          <w:noProof/>
          <w:sz w:val="24"/>
          <w:szCs w:val="24"/>
        </w:rPr>
        <w:t xml:space="preserve">adalah seminar daring yang </w:t>
      </w:r>
      <w:r w:rsidRPr="008D017E">
        <w:rPr>
          <w:rFonts w:ascii="Times New Roman" w:eastAsia="Calibri" w:hAnsi="Times New Roman" w:cs="Times New Roman"/>
          <w:noProof/>
          <w:sz w:val="24"/>
          <w:szCs w:val="24"/>
        </w:rPr>
        <w:t xml:space="preserve">menggunakan teknologi konferensi video yang memungkinkan interaksi langsung (sinkron) antara pemateri dan partisipan tanpa harus berada di lokasi yang sama </w:t>
      </w:r>
      <w:r w:rsidRPr="008D017E">
        <w:rPr>
          <w:rFonts w:ascii="Times New Roman" w:eastAsia="Calibri" w:hAnsi="Times New Roman" w:cs="Times New Roman"/>
          <w:noProof/>
          <w:sz w:val="24"/>
          <w:szCs w:val="24"/>
        </w:rPr>
        <w:fldChar w:fldCharType="begin" w:fldLock="1"/>
      </w:r>
      <w:r w:rsidRPr="008D017E">
        <w:rPr>
          <w:rFonts w:ascii="Times New Roman" w:eastAsia="Calibri" w:hAnsi="Times New Roman" w:cs="Times New Roman"/>
          <w:noProof/>
          <w:sz w:val="24"/>
          <w:szCs w:val="24"/>
        </w:rPr>
        <w:instrText>ADDIN CSL_CITATION {"citationItems":[{"id":"ITEM-1","itemData":{"DOI":"10.3389/feduc.2019.00092","author":[{"dropping-particle":"","family":"Ebner","given":"Christian","non-dropping-particle":"","parse-names":false,"suffix":""},{"dropping-particle":"","family":"Gegenfurtner","given":"Andreas","non-dropping-particle":"","parse-names":false,"suffix":""}],"id":"ITEM-1","issue":"September","issued":{"date-parts":[["2019"]]},"page":"1-11","title":"Learning and Satisfaction in Webinar , Online , and Face-to-Face Instruction :","type":"article-journal","volume":"4"},"uris":["http://www.mendeley.com/documents/?uuid=a47192a5-fec6-4e1c-8af9-cd1835a9f8d3"]}],"mendeley":{"formattedCitation":"(Ebner and Gegenfurtner, 2019)","plainTextFormattedCitation":"(Ebner and Gegenfurtner, 2019)","previouslyFormattedCitation":"(Ebner and Gegenfurtner, 2019)"},"properties":{"noteIndex":0},"schema":"https://github.com/citation-style-language/schema/raw/master/csl-citation.json"}</w:instrText>
      </w:r>
      <w:r w:rsidRPr="008D017E">
        <w:rPr>
          <w:rFonts w:ascii="Times New Roman" w:eastAsia="Calibri" w:hAnsi="Times New Roman" w:cs="Times New Roman"/>
          <w:noProof/>
          <w:sz w:val="24"/>
          <w:szCs w:val="24"/>
        </w:rPr>
        <w:fldChar w:fldCharType="separate"/>
      </w:r>
      <w:r w:rsidRPr="008D017E">
        <w:rPr>
          <w:rFonts w:ascii="Times New Roman" w:eastAsia="Calibri" w:hAnsi="Times New Roman" w:cs="Times New Roman"/>
          <w:noProof/>
          <w:sz w:val="24"/>
          <w:szCs w:val="24"/>
        </w:rPr>
        <w:t>(Ebner and Gegenfurtner, 2019)</w:t>
      </w:r>
      <w:r w:rsidRPr="008D017E">
        <w:rPr>
          <w:rFonts w:ascii="Times New Roman" w:eastAsia="Calibri" w:hAnsi="Times New Roman" w:cs="Times New Roman"/>
          <w:noProof/>
          <w:sz w:val="24"/>
          <w:szCs w:val="24"/>
        </w:rPr>
        <w:fldChar w:fldCharType="end"/>
      </w:r>
      <w:r w:rsidRPr="008D017E">
        <w:rPr>
          <w:rFonts w:ascii="Times New Roman" w:eastAsia="Calibri" w:hAnsi="Times New Roman" w:cs="Times New Roman"/>
          <w:noProof/>
          <w:sz w:val="24"/>
          <w:szCs w:val="24"/>
        </w:rPr>
        <w:t>. Metode ini memiliki beberapa kelebihan dibandingkan dengan pembelajaran daring yang bersifat asinkron antara lain</w:t>
      </w:r>
      <w:r w:rsidR="0082655C" w:rsidRPr="008D017E">
        <w:rPr>
          <w:rFonts w:ascii="Times New Roman" w:eastAsia="Calibri" w:hAnsi="Times New Roman" w:cs="Times New Roman"/>
          <w:noProof/>
          <w:sz w:val="24"/>
          <w:szCs w:val="24"/>
        </w:rPr>
        <w:t xml:space="preserve"> adalah</w:t>
      </w:r>
      <w:r w:rsidRPr="008D017E">
        <w:rPr>
          <w:rFonts w:ascii="Times New Roman" w:eastAsia="Calibri" w:hAnsi="Times New Roman" w:cs="Times New Roman"/>
          <w:noProof/>
          <w:sz w:val="24"/>
          <w:szCs w:val="24"/>
        </w:rPr>
        <w:t xml:space="preserve"> </w:t>
      </w:r>
      <w:r w:rsidR="007C1ED1" w:rsidRPr="008D017E">
        <w:rPr>
          <w:rFonts w:ascii="Times New Roman" w:eastAsia="Calibri" w:hAnsi="Times New Roman" w:cs="Times New Roman"/>
          <w:noProof/>
          <w:sz w:val="24"/>
          <w:szCs w:val="24"/>
        </w:rPr>
        <w:t>adanya</w:t>
      </w:r>
      <w:r w:rsidRPr="008D017E">
        <w:rPr>
          <w:rFonts w:ascii="Times New Roman" w:eastAsia="Calibri" w:hAnsi="Times New Roman" w:cs="Times New Roman"/>
          <w:noProof/>
          <w:sz w:val="24"/>
          <w:szCs w:val="24"/>
        </w:rPr>
        <w:t xml:space="preserve"> interaksi langsung, </w:t>
      </w:r>
      <w:r w:rsidR="007C1ED1" w:rsidRPr="008D017E">
        <w:rPr>
          <w:rFonts w:ascii="Times New Roman" w:eastAsia="Calibri" w:hAnsi="Times New Roman" w:cs="Times New Roman"/>
          <w:noProof/>
          <w:sz w:val="24"/>
          <w:szCs w:val="24"/>
        </w:rPr>
        <w:t xml:space="preserve">sehingga </w:t>
      </w:r>
      <w:r w:rsidRPr="008D017E">
        <w:rPr>
          <w:rFonts w:ascii="Times New Roman" w:eastAsia="Calibri" w:hAnsi="Times New Roman" w:cs="Times New Roman"/>
          <w:noProof/>
          <w:sz w:val="24"/>
          <w:szCs w:val="24"/>
        </w:rPr>
        <w:t xml:space="preserve">pemateri atau instruktur dapat langsung memberikan umpan balik. </w:t>
      </w:r>
      <w:r w:rsidR="0088404A" w:rsidRPr="008D017E">
        <w:rPr>
          <w:rFonts w:ascii="Times New Roman" w:eastAsia="Calibri" w:hAnsi="Times New Roman" w:cs="Times New Roman"/>
          <w:noProof/>
          <w:sz w:val="24"/>
          <w:szCs w:val="24"/>
        </w:rPr>
        <w:t xml:space="preserve">Selain </w:t>
      </w:r>
      <w:r w:rsidR="0088404A" w:rsidRPr="008D017E">
        <w:rPr>
          <w:rFonts w:ascii="Times New Roman" w:eastAsia="Calibri" w:hAnsi="Times New Roman" w:cs="Times New Roman"/>
          <w:i/>
          <w:noProof/>
          <w:sz w:val="24"/>
          <w:szCs w:val="24"/>
        </w:rPr>
        <w:t>platform</w:t>
      </w:r>
      <w:r w:rsidR="0088404A" w:rsidRPr="008D017E">
        <w:rPr>
          <w:rFonts w:ascii="Times New Roman" w:eastAsia="Calibri" w:hAnsi="Times New Roman" w:cs="Times New Roman"/>
          <w:noProof/>
          <w:sz w:val="24"/>
          <w:szCs w:val="24"/>
        </w:rPr>
        <w:t xml:space="preserve"> untuk webinar, Zoom® juga menawarkan platform Web Meeting yang umum digunakan dalam pembelajaran daring. </w:t>
      </w:r>
      <w:r w:rsidR="0065014B" w:rsidRPr="008D017E">
        <w:rPr>
          <w:rFonts w:ascii="Times New Roman" w:eastAsia="Calibri" w:hAnsi="Times New Roman" w:cs="Times New Roman"/>
          <w:noProof/>
          <w:sz w:val="24"/>
          <w:szCs w:val="24"/>
        </w:rPr>
        <w:t>Melalui pertimbangan</w:t>
      </w:r>
      <w:r w:rsidR="0088404A" w:rsidRPr="008D017E">
        <w:rPr>
          <w:rFonts w:ascii="Times New Roman" w:eastAsia="Calibri" w:hAnsi="Times New Roman" w:cs="Times New Roman"/>
          <w:noProof/>
          <w:sz w:val="24"/>
          <w:szCs w:val="24"/>
        </w:rPr>
        <w:t xml:space="preserve"> </w:t>
      </w:r>
      <w:r w:rsidR="0082655C" w:rsidRPr="008D017E">
        <w:rPr>
          <w:rFonts w:ascii="Times New Roman" w:eastAsia="Calibri" w:hAnsi="Times New Roman" w:cs="Times New Roman"/>
          <w:noProof/>
          <w:sz w:val="24"/>
          <w:szCs w:val="24"/>
        </w:rPr>
        <w:t xml:space="preserve">format kegiatan, </w:t>
      </w:r>
      <w:r w:rsidR="0088404A" w:rsidRPr="008D017E">
        <w:rPr>
          <w:rFonts w:ascii="Times New Roman" w:eastAsia="Calibri" w:hAnsi="Times New Roman" w:cs="Times New Roman"/>
          <w:noProof/>
          <w:sz w:val="24"/>
          <w:szCs w:val="24"/>
        </w:rPr>
        <w:t>cakupan partisipan yang cukup luas dan beragam, serta ketertiban jalannya acara, platform webinar lebih dipilih</w:t>
      </w:r>
      <w:r w:rsidR="0082655C" w:rsidRPr="008D017E">
        <w:rPr>
          <w:rFonts w:ascii="Times New Roman" w:eastAsia="Calibri" w:hAnsi="Times New Roman" w:cs="Times New Roman"/>
          <w:noProof/>
          <w:sz w:val="24"/>
          <w:szCs w:val="24"/>
        </w:rPr>
        <w:t xml:space="preserve"> karena fitur berbagi audio, video dan layar pada webinar hanya dapat dikelola oleh </w:t>
      </w:r>
      <w:r w:rsidR="0082655C" w:rsidRPr="008D017E">
        <w:rPr>
          <w:rFonts w:ascii="Times New Roman" w:eastAsia="Calibri" w:hAnsi="Times New Roman" w:cs="Times New Roman"/>
          <w:i/>
          <w:noProof/>
          <w:sz w:val="24"/>
          <w:szCs w:val="24"/>
        </w:rPr>
        <w:t>host</w:t>
      </w:r>
      <w:r w:rsidR="0082655C" w:rsidRPr="008D017E">
        <w:rPr>
          <w:rFonts w:ascii="Times New Roman" w:eastAsia="Calibri" w:hAnsi="Times New Roman" w:cs="Times New Roman"/>
          <w:noProof/>
          <w:sz w:val="24"/>
          <w:szCs w:val="24"/>
        </w:rPr>
        <w:t xml:space="preserve"> dan panelis. Hal ini memungkinkan interaksi antara panelis dan partisipan berlangsung pada waktu</w:t>
      </w:r>
      <w:r w:rsidR="007C1ED1" w:rsidRPr="008D017E">
        <w:rPr>
          <w:rFonts w:ascii="Times New Roman" w:eastAsia="Calibri" w:hAnsi="Times New Roman" w:cs="Times New Roman"/>
          <w:noProof/>
          <w:sz w:val="24"/>
          <w:szCs w:val="24"/>
        </w:rPr>
        <w:t>,</w:t>
      </w:r>
      <w:r w:rsidR="0082655C" w:rsidRPr="008D017E">
        <w:rPr>
          <w:rFonts w:ascii="Times New Roman" w:eastAsia="Calibri" w:hAnsi="Times New Roman" w:cs="Times New Roman"/>
          <w:noProof/>
          <w:sz w:val="24"/>
          <w:szCs w:val="24"/>
        </w:rPr>
        <w:t xml:space="preserve"> dan denga</w:t>
      </w:r>
      <w:r w:rsidR="0065014B" w:rsidRPr="008D017E">
        <w:rPr>
          <w:rFonts w:ascii="Times New Roman" w:eastAsia="Calibri" w:hAnsi="Times New Roman" w:cs="Times New Roman"/>
          <w:noProof/>
          <w:sz w:val="24"/>
          <w:szCs w:val="24"/>
        </w:rPr>
        <w:t>n metode yang telah ditentukan.</w:t>
      </w:r>
      <w:r w:rsidR="0082655C" w:rsidRPr="008D017E">
        <w:rPr>
          <w:rFonts w:ascii="Times New Roman" w:eastAsia="Calibri" w:hAnsi="Times New Roman" w:cs="Times New Roman"/>
          <w:noProof/>
          <w:sz w:val="24"/>
          <w:szCs w:val="24"/>
        </w:rPr>
        <w:t xml:space="preserve"> </w:t>
      </w:r>
      <w:r w:rsidR="0007475B" w:rsidRPr="008D017E">
        <w:rPr>
          <w:rFonts w:ascii="Times New Roman" w:eastAsia="Calibri" w:hAnsi="Times New Roman" w:cs="Times New Roman"/>
          <w:noProof/>
          <w:sz w:val="24"/>
          <w:szCs w:val="24"/>
        </w:rPr>
        <w:t xml:space="preserve">Namun demikian, </w:t>
      </w:r>
      <w:r w:rsidR="0082655C" w:rsidRPr="008D017E">
        <w:rPr>
          <w:rFonts w:ascii="Times New Roman" w:eastAsia="Calibri" w:hAnsi="Times New Roman" w:cs="Times New Roman"/>
          <w:i/>
          <w:noProof/>
          <w:sz w:val="24"/>
          <w:szCs w:val="24"/>
        </w:rPr>
        <w:t>platform</w:t>
      </w:r>
      <w:r w:rsidR="0082655C" w:rsidRPr="008D017E">
        <w:rPr>
          <w:rFonts w:ascii="Times New Roman" w:eastAsia="Calibri" w:hAnsi="Times New Roman" w:cs="Times New Roman"/>
          <w:noProof/>
          <w:sz w:val="24"/>
          <w:szCs w:val="24"/>
        </w:rPr>
        <w:t xml:space="preserve"> webinar tidak mendukung kolaborasi partisipan dalam kelompok-kelompok kecil dengan ruang terpisah </w:t>
      </w:r>
      <w:r w:rsidR="0082655C" w:rsidRPr="008D017E">
        <w:rPr>
          <w:rFonts w:ascii="Times New Roman" w:eastAsia="Calibri" w:hAnsi="Times New Roman" w:cs="Times New Roman"/>
          <w:i/>
          <w:noProof/>
          <w:sz w:val="24"/>
          <w:szCs w:val="24"/>
        </w:rPr>
        <w:t>(breakout room)</w:t>
      </w:r>
      <w:r w:rsidR="0082655C" w:rsidRPr="008D017E">
        <w:rPr>
          <w:rFonts w:ascii="Times New Roman" w:eastAsia="Calibri" w:hAnsi="Times New Roman" w:cs="Times New Roman"/>
          <w:noProof/>
          <w:sz w:val="24"/>
          <w:szCs w:val="24"/>
        </w:rPr>
        <w:t xml:space="preserve"> seperti yang ditawarkan oleh </w:t>
      </w:r>
      <w:r w:rsidR="0082655C" w:rsidRPr="008D017E">
        <w:rPr>
          <w:rFonts w:ascii="Times New Roman" w:eastAsia="Calibri" w:hAnsi="Times New Roman" w:cs="Times New Roman"/>
          <w:i/>
          <w:noProof/>
          <w:sz w:val="24"/>
          <w:szCs w:val="24"/>
        </w:rPr>
        <w:t>Web Meeting</w:t>
      </w:r>
      <w:r w:rsidR="0082655C" w:rsidRPr="008D017E">
        <w:rPr>
          <w:rFonts w:ascii="Times New Roman" w:eastAsia="Calibri" w:hAnsi="Times New Roman" w:cs="Times New Roman"/>
          <w:noProof/>
          <w:sz w:val="24"/>
          <w:szCs w:val="24"/>
        </w:rPr>
        <w:t xml:space="preserve">. </w:t>
      </w:r>
      <w:r w:rsidR="00A21C48" w:rsidRPr="008D017E">
        <w:rPr>
          <w:rFonts w:ascii="Times New Roman" w:eastAsia="Calibri" w:hAnsi="Times New Roman" w:cs="Times New Roman"/>
          <w:noProof/>
          <w:sz w:val="24"/>
          <w:szCs w:val="24"/>
        </w:rPr>
        <w:t xml:space="preserve">Selain pemilihan </w:t>
      </w:r>
      <w:r w:rsidR="00A21C48" w:rsidRPr="008D017E">
        <w:rPr>
          <w:rFonts w:ascii="Times New Roman" w:eastAsia="Calibri" w:hAnsi="Times New Roman" w:cs="Times New Roman"/>
          <w:i/>
          <w:noProof/>
          <w:sz w:val="24"/>
          <w:szCs w:val="24"/>
        </w:rPr>
        <w:t>platform</w:t>
      </w:r>
      <w:r w:rsidR="00A21C48" w:rsidRPr="008D017E">
        <w:rPr>
          <w:rFonts w:ascii="Times New Roman" w:eastAsia="Calibri" w:hAnsi="Times New Roman" w:cs="Times New Roman"/>
          <w:noProof/>
          <w:sz w:val="24"/>
          <w:szCs w:val="24"/>
        </w:rPr>
        <w:t xml:space="preserve"> kegiatan, pada tahap persiapan tim pengabdian juga menyiapkan sistem registrasi daring dan pengiriman tautan Zoom webinar secara otomatis kepada pendaftar. </w:t>
      </w:r>
      <w:r w:rsidR="00D67996" w:rsidRPr="008D017E">
        <w:rPr>
          <w:rFonts w:ascii="Times New Roman" w:eastAsia="Calibri" w:hAnsi="Times New Roman" w:cs="Times New Roman"/>
          <w:noProof/>
          <w:sz w:val="24"/>
          <w:szCs w:val="24"/>
        </w:rPr>
        <w:t xml:space="preserve">Sistem registrasi daring yang digunakan adalah dengan mengisi Google Form yang sekaligus telah terintegrasi dengan pretes. </w:t>
      </w:r>
    </w:p>
    <w:p w:rsidR="0065014B" w:rsidRPr="008D017E" w:rsidRDefault="00D67996" w:rsidP="000C25A3">
      <w:pPr>
        <w:jc w:val="both"/>
        <w:rPr>
          <w:rFonts w:ascii="Times New Roman" w:eastAsia="Calibri" w:hAnsi="Times New Roman" w:cs="Times New Roman"/>
          <w:noProof/>
          <w:sz w:val="24"/>
          <w:szCs w:val="24"/>
        </w:rPr>
      </w:pPr>
      <w:r w:rsidRPr="008D017E">
        <w:rPr>
          <w:rFonts w:ascii="Times New Roman" w:eastAsia="Calibri" w:hAnsi="Times New Roman" w:cs="Times New Roman"/>
          <w:noProof/>
          <w:sz w:val="24"/>
          <w:szCs w:val="24"/>
        </w:rPr>
        <w:t xml:space="preserve">Setelah seluruh komponen acara siap, materi sosialisasi </w:t>
      </w:r>
      <w:r w:rsidRPr="008D017E">
        <w:rPr>
          <w:rFonts w:ascii="Times New Roman" w:eastAsia="Calibri" w:hAnsi="Times New Roman" w:cs="Times New Roman"/>
          <w:i/>
          <w:noProof/>
          <w:sz w:val="24"/>
          <w:szCs w:val="24"/>
        </w:rPr>
        <w:t>(flyer)</w:t>
      </w:r>
      <w:r w:rsidRPr="008D017E">
        <w:rPr>
          <w:rFonts w:ascii="Times New Roman" w:eastAsia="Calibri" w:hAnsi="Times New Roman" w:cs="Times New Roman"/>
          <w:noProof/>
          <w:sz w:val="24"/>
          <w:szCs w:val="24"/>
        </w:rPr>
        <w:t xml:space="preserve"> mulai disosialisasikan melalui berbagai grup komunikasi</w:t>
      </w:r>
      <w:r w:rsidR="0065014B" w:rsidRPr="008D017E">
        <w:rPr>
          <w:rFonts w:ascii="Times New Roman" w:eastAsia="Calibri" w:hAnsi="Times New Roman" w:cs="Times New Roman"/>
          <w:noProof/>
          <w:sz w:val="24"/>
          <w:szCs w:val="24"/>
        </w:rPr>
        <w:t xml:space="preserve"> internal RS Universitas Mataram, RSUD Provinsi NTB, institusi pendidikan profesi kesehatan lainnya yang bekerja sama dengan RS Universitas Mataram, berbagai </w:t>
      </w:r>
      <w:r w:rsidRPr="008D017E">
        <w:rPr>
          <w:rFonts w:ascii="Times New Roman" w:eastAsia="Calibri" w:hAnsi="Times New Roman" w:cs="Times New Roman"/>
          <w:noProof/>
          <w:sz w:val="24"/>
          <w:szCs w:val="24"/>
        </w:rPr>
        <w:t>sosial media maupun secara resmi ke Komite Koordinasi Pendidikan Klinis (KOMKORDIK)</w:t>
      </w:r>
      <w:r w:rsidR="0065014B" w:rsidRPr="008D017E">
        <w:rPr>
          <w:rFonts w:ascii="Times New Roman" w:eastAsia="Calibri" w:hAnsi="Times New Roman" w:cs="Times New Roman"/>
          <w:noProof/>
          <w:sz w:val="24"/>
          <w:szCs w:val="24"/>
        </w:rPr>
        <w:t xml:space="preserve"> Fakultas Kedokteran Universitas Mataram</w:t>
      </w:r>
      <w:r w:rsidRPr="008D017E">
        <w:rPr>
          <w:rFonts w:ascii="Times New Roman" w:eastAsia="Calibri" w:hAnsi="Times New Roman" w:cs="Times New Roman"/>
          <w:noProof/>
          <w:sz w:val="24"/>
          <w:szCs w:val="24"/>
        </w:rPr>
        <w:t xml:space="preserve">. </w:t>
      </w:r>
      <w:r w:rsidR="0065014B" w:rsidRPr="008D017E">
        <w:rPr>
          <w:rFonts w:ascii="Times New Roman" w:eastAsia="Calibri" w:hAnsi="Times New Roman" w:cs="Times New Roman"/>
          <w:noProof/>
          <w:sz w:val="24"/>
          <w:szCs w:val="24"/>
        </w:rPr>
        <w:t xml:space="preserve">Target kegiatan ini adalah dokter dan tenaga kesehatan lainnya yang sudah dan akan terlibat dalam pendidikan klinis, maupun yang memiliki aspirasi untuk menjadi pendidik klinis. </w:t>
      </w:r>
    </w:p>
    <w:p w:rsidR="0065014B" w:rsidRPr="008D017E" w:rsidRDefault="00D67996" w:rsidP="000C25A3">
      <w:pPr>
        <w:jc w:val="both"/>
        <w:rPr>
          <w:rFonts w:ascii="Times New Roman" w:eastAsia="Calibri" w:hAnsi="Times New Roman" w:cs="Times New Roman"/>
          <w:noProof/>
          <w:sz w:val="24"/>
          <w:szCs w:val="24"/>
        </w:rPr>
      </w:pPr>
      <w:r w:rsidRPr="008D017E">
        <w:rPr>
          <w:rFonts w:ascii="Times New Roman" w:eastAsia="Calibri" w:hAnsi="Times New Roman" w:cs="Times New Roman"/>
          <w:noProof/>
          <w:sz w:val="24"/>
          <w:szCs w:val="24"/>
        </w:rPr>
        <w:t xml:space="preserve">Sehari sebelum acara dilaksanakan, panitia bersama seluruh pembicara dan moderator melakukan gladi bersih secara daring dari lokasi masing-masing. Gladi bersih ini dilakukan untuk mengujicobakan berbagai perangkat yang digunakan, penyiaran secara langsung melalui kanal YouTube, metode interaksi </w:t>
      </w:r>
      <w:r w:rsidR="000C25A3" w:rsidRPr="008D017E">
        <w:rPr>
          <w:rFonts w:ascii="Times New Roman" w:eastAsia="Calibri" w:hAnsi="Times New Roman" w:cs="Times New Roman"/>
          <w:noProof/>
          <w:sz w:val="24"/>
          <w:szCs w:val="24"/>
        </w:rPr>
        <w:t xml:space="preserve">dengan partisipan selama acara, serta menyiapkan </w:t>
      </w:r>
      <w:r w:rsidR="000C25A3" w:rsidRPr="008D017E">
        <w:rPr>
          <w:rFonts w:ascii="Times New Roman" w:eastAsia="Calibri" w:hAnsi="Times New Roman" w:cs="Times New Roman"/>
          <w:noProof/>
          <w:sz w:val="24"/>
          <w:szCs w:val="24"/>
        </w:rPr>
        <w:lastRenderedPageBreak/>
        <w:t xml:space="preserve">rencana cadangan apabila terjadi masalah. </w:t>
      </w:r>
    </w:p>
    <w:p w:rsidR="00B86388" w:rsidRPr="008D017E" w:rsidRDefault="000C25A3" w:rsidP="008D017E">
      <w:pPr>
        <w:jc w:val="both"/>
        <w:rPr>
          <w:rFonts w:ascii="Times New Roman" w:hAnsi="Times New Roman" w:cs="Times New Roman"/>
          <w:sz w:val="24"/>
          <w:szCs w:val="24"/>
        </w:rPr>
      </w:pPr>
      <w:r w:rsidRPr="008D017E">
        <w:rPr>
          <w:rFonts w:ascii="Times New Roman" w:eastAsia="Calibri" w:hAnsi="Times New Roman" w:cs="Times New Roman"/>
          <w:noProof/>
          <w:sz w:val="24"/>
          <w:szCs w:val="24"/>
        </w:rPr>
        <w:t xml:space="preserve">Kegiatan ini dilaksanakan pada hari Rabu, 9 September 2020 </w:t>
      </w:r>
      <w:r w:rsidR="0065014B" w:rsidRPr="008D017E">
        <w:rPr>
          <w:rFonts w:ascii="Times New Roman" w:eastAsia="Calibri" w:hAnsi="Times New Roman" w:cs="Times New Roman"/>
          <w:noProof/>
          <w:sz w:val="24"/>
          <w:szCs w:val="24"/>
        </w:rPr>
        <w:t xml:space="preserve">selama dua jam mulai </w:t>
      </w:r>
      <w:r w:rsidRPr="008D017E">
        <w:rPr>
          <w:rFonts w:ascii="Times New Roman" w:eastAsia="Calibri" w:hAnsi="Times New Roman" w:cs="Times New Roman"/>
          <w:noProof/>
          <w:sz w:val="24"/>
          <w:szCs w:val="24"/>
        </w:rPr>
        <w:t xml:space="preserve">pukul 13.30 sampai dengan 15.30 </w:t>
      </w:r>
      <w:r w:rsidR="0065014B" w:rsidRPr="008D017E">
        <w:rPr>
          <w:rFonts w:ascii="Times New Roman" w:eastAsia="Calibri" w:hAnsi="Times New Roman" w:cs="Times New Roman"/>
          <w:noProof/>
          <w:sz w:val="24"/>
          <w:szCs w:val="24"/>
        </w:rPr>
        <w:t xml:space="preserve">WITA </w:t>
      </w:r>
      <w:r w:rsidRPr="008D017E">
        <w:rPr>
          <w:rFonts w:ascii="Times New Roman" w:eastAsia="Calibri" w:hAnsi="Times New Roman" w:cs="Times New Roman"/>
          <w:noProof/>
          <w:sz w:val="24"/>
          <w:szCs w:val="24"/>
        </w:rPr>
        <w:t xml:space="preserve">dan disiarkan melalui kanal YouTube dengan judul “Empat Keterampilan Dasar Pendidik Klinis” pada tautan berikut ini: </w:t>
      </w:r>
      <w:hyperlink r:id="rId14" w:history="1">
        <w:r w:rsidRPr="008D017E">
          <w:rPr>
            <w:rStyle w:val="Hyperlink"/>
            <w:rFonts w:ascii="Times New Roman" w:hAnsi="Times New Roman" w:cs="Times New Roman"/>
            <w:sz w:val="24"/>
            <w:szCs w:val="24"/>
          </w:rPr>
          <w:t>https://www.youtube.com/watch?v=tbMG_CH22XA</w:t>
        </w:r>
      </w:hyperlink>
      <w:r w:rsidRPr="008D017E">
        <w:rPr>
          <w:rFonts w:ascii="Times New Roman" w:hAnsi="Times New Roman" w:cs="Times New Roman"/>
          <w:sz w:val="24"/>
          <w:szCs w:val="24"/>
        </w:rPr>
        <w:t xml:space="preserve"> . </w:t>
      </w:r>
      <w:proofErr w:type="spellStart"/>
      <w:r w:rsidRPr="008D017E">
        <w:rPr>
          <w:rFonts w:ascii="Times New Roman" w:hAnsi="Times New Roman" w:cs="Times New Roman"/>
          <w:sz w:val="24"/>
          <w:szCs w:val="24"/>
        </w:rPr>
        <w:t>Akses</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terhadap</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materi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kegiatan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diberikan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melalui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tautan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berikut</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ini</w:t>
      </w:r>
      <w:proofErr w:type="spellEnd"/>
      <w:r w:rsidRPr="008D017E">
        <w:rPr>
          <w:rFonts w:ascii="Times New Roman" w:hAnsi="Times New Roman" w:cs="Times New Roman"/>
          <w:sz w:val="24"/>
          <w:szCs w:val="24"/>
        </w:rPr>
        <w:t xml:space="preserve">: </w:t>
      </w:r>
      <w:hyperlink r:id="rId15" w:history="1">
        <w:r w:rsidR="0007475B" w:rsidRPr="008D017E">
          <w:rPr>
            <w:rStyle w:val="Hyperlink"/>
            <w:rFonts w:ascii="Times New Roman" w:hAnsi="Times New Roman" w:cs="Times New Roman"/>
            <w:sz w:val="24"/>
            <w:szCs w:val="24"/>
          </w:rPr>
          <w:t>http://bit.ly/materiwebinardiknis</w:t>
        </w:r>
      </w:hyperlink>
      <w:r w:rsidRPr="008D017E">
        <w:rPr>
          <w:rStyle w:val="Hyperlink"/>
          <w:rFonts w:ascii="Times New Roman" w:hAnsi="Times New Roman" w:cs="Times New Roman"/>
          <w:sz w:val="24"/>
          <w:szCs w:val="24"/>
        </w:rPr>
        <w:t xml:space="preserve"> </w:t>
      </w:r>
      <w:r w:rsidRPr="008D017E">
        <w:rPr>
          <w:rFonts w:ascii="Times New Roman" w:hAnsi="Times New Roman" w:cs="Times New Roman"/>
          <w:sz w:val="24"/>
          <w:szCs w:val="24"/>
        </w:rPr>
        <w:t xml:space="preserve">. </w:t>
      </w:r>
      <w:proofErr w:type="spellStart"/>
      <w:proofErr w:type="gramStart"/>
      <w:r w:rsidRPr="008D017E">
        <w:rPr>
          <w:rFonts w:ascii="Times New Roman" w:hAnsi="Times New Roman" w:cs="Times New Roman"/>
          <w:sz w:val="24"/>
          <w:szCs w:val="24"/>
        </w:rPr>
        <w:t>Tautan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presensi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dibagikan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pada</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partisipan</w:t>
      </w:r>
      <w:proofErr w:type="spellEnd"/>
      <w:r w:rsidRPr="008D017E">
        <w:rPr>
          <w:rFonts w:ascii="Times New Roman" w:hAnsi="Times New Roman" w:cs="Times New Roman"/>
          <w:sz w:val="24"/>
          <w:szCs w:val="24"/>
        </w:rPr>
        <w:t xml:space="preserve"> di </w:t>
      </w:r>
      <w:proofErr w:type="spellStart"/>
      <w:r w:rsidRPr="008D017E">
        <w:rPr>
          <w:rFonts w:ascii="Times New Roman" w:hAnsi="Times New Roman" w:cs="Times New Roman"/>
          <w:sz w:val="24"/>
          <w:szCs w:val="24"/>
        </w:rPr>
        <w:t>akhir</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kegiatan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terintegrasi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dengan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postes</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kegiatan</w:t>
      </w:r>
      <w:proofErr w:type="spellEnd"/>
      <w:r w:rsidRPr="008D017E">
        <w:rPr>
          <w:rFonts w:ascii="Times New Roman" w:hAnsi="Times New Roman" w:cs="Times New Roman"/>
          <w:sz w:val="24"/>
          <w:szCs w:val="24"/>
        </w:rPr>
        <w:t>.</w:t>
      </w:r>
      <w:proofErr w:type="gramEnd"/>
      <w:r w:rsidRPr="008D017E">
        <w:rPr>
          <w:rFonts w:ascii="Times New Roman" w:hAnsi="Times New Roman" w:cs="Times New Roman"/>
          <w:sz w:val="24"/>
          <w:szCs w:val="24"/>
        </w:rPr>
        <w:t xml:space="preserve"> </w:t>
      </w:r>
      <w:proofErr w:type="spellStart"/>
      <w:proofErr w:type="gramStart"/>
      <w:r w:rsidRPr="008D017E">
        <w:rPr>
          <w:rFonts w:ascii="Times New Roman" w:hAnsi="Times New Roman" w:cs="Times New Roman"/>
          <w:sz w:val="24"/>
          <w:szCs w:val="24"/>
        </w:rPr>
        <w:t>Sertifikat</w:t>
      </w:r>
      <w:proofErr w:type="spellEnd"/>
      <w:r w:rsidRPr="008D017E">
        <w:rPr>
          <w:rFonts w:ascii="Times New Roman" w:hAnsi="Times New Roman" w:cs="Times New Roman"/>
          <w:sz w:val="24"/>
          <w:szCs w:val="24"/>
        </w:rPr>
        <w:t xml:space="preserve"> </w:t>
      </w:r>
      <w:r w:rsidR="0007475B" w:rsidRPr="008D017E">
        <w:rPr>
          <w:rFonts w:ascii="Times New Roman" w:hAnsi="Times New Roman" w:cs="Times New Roman"/>
          <w:sz w:val="24"/>
          <w:szCs w:val="24"/>
        </w:rPr>
        <w:t>digital</w:t>
      </w:r>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diberikan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kepada</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partisipan</w:t>
      </w:r>
      <w:proofErr w:type="spellEnd"/>
      <w:r w:rsidRPr="008D017E">
        <w:rPr>
          <w:rFonts w:ascii="Times New Roman" w:hAnsi="Times New Roman" w:cs="Times New Roman"/>
          <w:sz w:val="24"/>
          <w:szCs w:val="24"/>
        </w:rPr>
        <w:t xml:space="preserve"> yang </w:t>
      </w:r>
      <w:proofErr w:type="spellStart"/>
      <w:r w:rsidRPr="008D017E">
        <w:rPr>
          <w:rFonts w:ascii="Times New Roman" w:hAnsi="Times New Roman" w:cs="Times New Roman"/>
          <w:sz w:val="24"/>
          <w:szCs w:val="24"/>
        </w:rPr>
        <w:t>mengisi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presensi</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dan</w:t>
      </w:r>
      <w:proofErr w:type="spellEnd"/>
      <w:r w:rsidRPr="008D017E">
        <w:rPr>
          <w:rFonts w:ascii="Times New Roman" w:hAnsi="Times New Roman" w:cs="Times New Roman"/>
          <w:sz w:val="24"/>
          <w:szCs w:val="24"/>
        </w:rPr>
        <w:t xml:space="preserve"> </w:t>
      </w:r>
      <w:proofErr w:type="spellStart"/>
      <w:r w:rsidRPr="008D017E">
        <w:rPr>
          <w:rFonts w:ascii="Times New Roman" w:hAnsi="Times New Roman" w:cs="Times New Roman"/>
          <w:sz w:val="24"/>
          <w:szCs w:val="24"/>
        </w:rPr>
        <w:t>postes</w:t>
      </w:r>
      <w:proofErr w:type="spellEnd"/>
      <w:r w:rsidRPr="008D017E">
        <w:rPr>
          <w:rFonts w:ascii="Times New Roman" w:hAnsi="Times New Roman" w:cs="Times New Roman"/>
          <w:sz w:val="24"/>
          <w:szCs w:val="24"/>
        </w:rPr>
        <w:t>.</w:t>
      </w:r>
      <w:proofErr w:type="gramEnd"/>
      <w:r w:rsidRPr="008D017E">
        <w:rPr>
          <w:rFonts w:ascii="Times New Roman" w:hAnsi="Times New Roman" w:cs="Times New Roman"/>
          <w:sz w:val="24"/>
          <w:szCs w:val="24"/>
        </w:rPr>
        <w:t xml:space="preserve"> </w:t>
      </w:r>
    </w:p>
    <w:p w:rsidR="00B86388" w:rsidRPr="008D017E" w:rsidRDefault="00CC25AD" w:rsidP="008D017E">
      <w:pPr>
        <w:pStyle w:val="Heading1"/>
        <w:jc w:val="center"/>
        <w:rPr>
          <w:rFonts w:ascii="Times New Roman" w:eastAsia="Calibri" w:hAnsi="Times New Roman" w:cs="Times New Roman"/>
          <w:noProof/>
          <w:color w:val="000000" w:themeColor="text1"/>
          <w:sz w:val="24"/>
          <w:szCs w:val="24"/>
          <w:lang w:val="id-ID"/>
        </w:rPr>
      </w:pPr>
      <w:r w:rsidRPr="008D017E">
        <w:rPr>
          <w:rFonts w:ascii="Times New Roman" w:eastAsia="Calibri" w:hAnsi="Times New Roman" w:cs="Times New Roman"/>
          <w:noProof/>
          <w:color w:val="000000" w:themeColor="text1"/>
          <w:sz w:val="24"/>
          <w:szCs w:val="24"/>
          <w:lang w:val="id-ID"/>
        </w:rPr>
        <w:t>H</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SIL</w:t>
      </w:r>
      <w:r w:rsidRPr="008D017E">
        <w:rPr>
          <w:rFonts w:ascii="Times New Roman" w:eastAsia="Calibri" w:hAnsi="Times New Roman" w:cs="Times New Roman"/>
          <w:noProof/>
          <w:color w:val="000000" w:themeColor="text1"/>
          <w:spacing w:val="-5"/>
          <w:sz w:val="24"/>
          <w:szCs w:val="24"/>
          <w:lang w:val="id-ID"/>
        </w:rPr>
        <w:t xml:space="preserve"> </w:t>
      </w:r>
      <w:r w:rsidRPr="008D017E">
        <w:rPr>
          <w:rFonts w:ascii="Times New Roman" w:eastAsia="Calibri" w:hAnsi="Times New Roman" w:cs="Times New Roman"/>
          <w:noProof/>
          <w:color w:val="000000" w:themeColor="text1"/>
          <w:sz w:val="24"/>
          <w:szCs w:val="24"/>
          <w:lang w:val="id-ID"/>
        </w:rPr>
        <w:t>D</w:t>
      </w:r>
      <w:r w:rsidRPr="008D017E">
        <w:rPr>
          <w:rFonts w:ascii="Times New Roman" w:eastAsia="Calibri" w:hAnsi="Times New Roman" w:cs="Times New Roman"/>
          <w:noProof/>
          <w:color w:val="000000" w:themeColor="text1"/>
          <w:spacing w:val="-1"/>
          <w:sz w:val="24"/>
          <w:szCs w:val="24"/>
          <w:lang w:val="id-ID"/>
        </w:rPr>
        <w:t>A</w:t>
      </w:r>
      <w:r w:rsidRPr="008D017E">
        <w:rPr>
          <w:rFonts w:ascii="Times New Roman" w:eastAsia="Calibri" w:hAnsi="Times New Roman" w:cs="Times New Roman"/>
          <w:noProof/>
          <w:color w:val="000000" w:themeColor="text1"/>
          <w:sz w:val="24"/>
          <w:szCs w:val="24"/>
          <w:lang w:val="id-ID"/>
        </w:rPr>
        <w:t>N</w:t>
      </w:r>
      <w:r w:rsidRPr="008D017E">
        <w:rPr>
          <w:rFonts w:ascii="Times New Roman" w:eastAsia="Calibri" w:hAnsi="Times New Roman" w:cs="Times New Roman"/>
          <w:noProof/>
          <w:color w:val="000000" w:themeColor="text1"/>
          <w:spacing w:val="-2"/>
          <w:sz w:val="24"/>
          <w:szCs w:val="24"/>
          <w:lang w:val="id-ID"/>
        </w:rPr>
        <w:t xml:space="preserve"> </w:t>
      </w:r>
      <w:r w:rsidRPr="008D017E">
        <w:rPr>
          <w:rFonts w:ascii="Times New Roman" w:eastAsia="Calibri" w:hAnsi="Times New Roman" w:cs="Times New Roman"/>
          <w:noProof/>
          <w:color w:val="000000" w:themeColor="text1"/>
          <w:sz w:val="24"/>
          <w:szCs w:val="24"/>
          <w:lang w:val="id-ID"/>
        </w:rPr>
        <w:t>P</w:t>
      </w:r>
      <w:r w:rsidRPr="008D017E">
        <w:rPr>
          <w:rFonts w:ascii="Times New Roman" w:eastAsia="Calibri" w:hAnsi="Times New Roman" w:cs="Times New Roman"/>
          <w:noProof/>
          <w:color w:val="000000" w:themeColor="text1"/>
          <w:spacing w:val="-1"/>
          <w:sz w:val="24"/>
          <w:szCs w:val="24"/>
          <w:lang w:val="id-ID"/>
        </w:rPr>
        <w:t>E</w:t>
      </w:r>
      <w:r w:rsidRPr="008D017E">
        <w:rPr>
          <w:rFonts w:ascii="Times New Roman" w:eastAsia="Calibri" w:hAnsi="Times New Roman" w:cs="Times New Roman"/>
          <w:noProof/>
          <w:color w:val="000000" w:themeColor="text1"/>
          <w:w w:val="99"/>
          <w:sz w:val="24"/>
          <w:szCs w:val="24"/>
          <w:lang w:val="id-ID"/>
        </w:rPr>
        <w:t>M</w:t>
      </w:r>
      <w:r w:rsidRPr="008D017E">
        <w:rPr>
          <w:rFonts w:ascii="Times New Roman" w:eastAsia="Calibri" w:hAnsi="Times New Roman" w:cs="Times New Roman"/>
          <w:noProof/>
          <w:color w:val="000000" w:themeColor="text1"/>
          <w:spacing w:val="-2"/>
          <w:w w:val="99"/>
          <w:sz w:val="24"/>
          <w:szCs w:val="24"/>
          <w:lang w:val="id-ID"/>
        </w:rPr>
        <w:t>B</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w w:val="99"/>
          <w:sz w:val="24"/>
          <w:szCs w:val="24"/>
          <w:lang w:val="id-ID"/>
        </w:rPr>
        <w:t>H</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spacing w:val="3"/>
          <w:w w:val="99"/>
          <w:sz w:val="24"/>
          <w:szCs w:val="24"/>
          <w:lang w:val="id-ID"/>
        </w:rPr>
        <w:t>S</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w w:val="99"/>
          <w:sz w:val="24"/>
          <w:szCs w:val="24"/>
          <w:lang w:val="id-ID"/>
        </w:rPr>
        <w:t>N</w:t>
      </w:r>
    </w:p>
    <w:p w:rsidR="00B86388" w:rsidRPr="008D017E" w:rsidRDefault="00B86388">
      <w:pPr>
        <w:spacing w:before="1" w:after="0" w:line="180" w:lineRule="exact"/>
        <w:rPr>
          <w:rFonts w:ascii="Times New Roman" w:hAnsi="Times New Roman" w:cs="Times New Roman"/>
          <w:noProof/>
          <w:sz w:val="24"/>
          <w:szCs w:val="24"/>
          <w:lang w:val="id-ID"/>
        </w:rPr>
      </w:pPr>
    </w:p>
    <w:p w:rsidR="00BA4B3D" w:rsidRPr="008D017E" w:rsidRDefault="0007475B" w:rsidP="00BA4B3D">
      <w:pPr>
        <w:ind w:left="142"/>
        <w:jc w:val="both"/>
        <w:rPr>
          <w:rFonts w:ascii="Times New Roman" w:hAnsi="Times New Roman" w:cs="Times New Roman"/>
          <w:noProof/>
          <w:sz w:val="24"/>
          <w:szCs w:val="24"/>
          <w:lang w:val="id-ID"/>
        </w:rPr>
      </w:pPr>
      <w:r w:rsidRPr="008D017E">
        <w:rPr>
          <w:rFonts w:ascii="Times New Roman" w:hAnsi="Times New Roman" w:cs="Times New Roman"/>
          <w:noProof/>
          <w:sz w:val="24"/>
          <w:szCs w:val="24"/>
        </w:rPr>
        <w:t>Sebanyak</w:t>
      </w:r>
      <w:r w:rsidR="00BA4B3D" w:rsidRPr="008D017E">
        <w:rPr>
          <w:rFonts w:ascii="Times New Roman" w:hAnsi="Times New Roman" w:cs="Times New Roman"/>
          <w:noProof/>
          <w:sz w:val="24"/>
          <w:szCs w:val="24"/>
          <w:lang w:val="id-ID"/>
        </w:rPr>
        <w:t xml:space="preserve"> 98 orang </w:t>
      </w:r>
      <w:r w:rsidRPr="008D017E">
        <w:rPr>
          <w:rFonts w:ascii="Times New Roman" w:hAnsi="Times New Roman" w:cs="Times New Roman"/>
          <w:noProof/>
          <w:sz w:val="24"/>
          <w:szCs w:val="24"/>
        </w:rPr>
        <w:t>mengisi formulir registrasi. Sebagian besar</w:t>
      </w:r>
      <w:r w:rsidR="00BA4B3D" w:rsidRPr="008D017E">
        <w:rPr>
          <w:rFonts w:ascii="Times New Roman" w:hAnsi="Times New Roman" w:cs="Times New Roman"/>
          <w:noProof/>
          <w:sz w:val="24"/>
          <w:szCs w:val="24"/>
          <w:lang w:val="id-ID"/>
        </w:rPr>
        <w:t xml:space="preserve"> </w:t>
      </w:r>
      <w:r w:rsidRPr="008D017E">
        <w:rPr>
          <w:rFonts w:ascii="Times New Roman" w:hAnsi="Times New Roman" w:cs="Times New Roman"/>
          <w:noProof/>
          <w:sz w:val="24"/>
          <w:szCs w:val="24"/>
        </w:rPr>
        <w:t>(</w:t>
      </w:r>
      <w:r w:rsidR="00BA4B3D" w:rsidRPr="008D017E">
        <w:rPr>
          <w:rFonts w:ascii="Times New Roman" w:hAnsi="Times New Roman" w:cs="Times New Roman"/>
          <w:noProof/>
          <w:sz w:val="24"/>
          <w:szCs w:val="24"/>
          <w:lang w:val="id-ID"/>
        </w:rPr>
        <w:t>62.4%</w:t>
      </w:r>
      <w:r w:rsidRPr="008D017E">
        <w:rPr>
          <w:rFonts w:ascii="Times New Roman" w:hAnsi="Times New Roman" w:cs="Times New Roman"/>
          <w:noProof/>
          <w:sz w:val="24"/>
          <w:szCs w:val="24"/>
        </w:rPr>
        <w:t>)</w:t>
      </w:r>
      <w:r w:rsidR="00BA4B3D" w:rsidRPr="008D017E">
        <w:rPr>
          <w:rFonts w:ascii="Times New Roman" w:hAnsi="Times New Roman" w:cs="Times New Roman"/>
          <w:noProof/>
          <w:sz w:val="24"/>
          <w:szCs w:val="24"/>
          <w:lang w:val="id-ID"/>
        </w:rPr>
        <w:t xml:space="preserve"> adalah dokter, 15.3% bidan, 14.3% perawat, dan 8% tenaga kesehatan lainnya. Partisipan tidak hanya berasal dari </w:t>
      </w:r>
      <w:r w:rsidR="005861BC" w:rsidRPr="008D017E">
        <w:rPr>
          <w:rFonts w:ascii="Times New Roman" w:hAnsi="Times New Roman" w:cs="Times New Roman"/>
          <w:noProof/>
          <w:sz w:val="24"/>
          <w:szCs w:val="24"/>
        </w:rPr>
        <w:t xml:space="preserve">Fakultas Kedokteran UNRAM dan </w:t>
      </w:r>
      <w:r w:rsidR="00BE2CD5" w:rsidRPr="008D017E">
        <w:rPr>
          <w:rFonts w:ascii="Times New Roman" w:hAnsi="Times New Roman" w:cs="Times New Roman"/>
          <w:noProof/>
          <w:sz w:val="24"/>
          <w:szCs w:val="24"/>
        </w:rPr>
        <w:t xml:space="preserve">RS UNRAM saja, tetapi juga mencakup </w:t>
      </w:r>
      <w:r w:rsidR="00BA4B3D" w:rsidRPr="008D017E">
        <w:rPr>
          <w:rFonts w:ascii="Times New Roman" w:hAnsi="Times New Roman" w:cs="Times New Roman"/>
          <w:noProof/>
          <w:sz w:val="24"/>
          <w:szCs w:val="24"/>
          <w:lang w:val="id-ID"/>
        </w:rPr>
        <w:t xml:space="preserve">institusi </w:t>
      </w:r>
      <w:r w:rsidR="005861BC" w:rsidRPr="008D017E">
        <w:rPr>
          <w:rFonts w:ascii="Times New Roman" w:hAnsi="Times New Roman" w:cs="Times New Roman"/>
          <w:noProof/>
          <w:sz w:val="24"/>
          <w:szCs w:val="24"/>
        </w:rPr>
        <w:t xml:space="preserve">pelayanan kesehatan dan institusi </w:t>
      </w:r>
      <w:r w:rsidR="00BA4B3D" w:rsidRPr="008D017E">
        <w:rPr>
          <w:rFonts w:ascii="Times New Roman" w:hAnsi="Times New Roman" w:cs="Times New Roman"/>
          <w:noProof/>
          <w:sz w:val="24"/>
          <w:szCs w:val="24"/>
          <w:lang w:val="id-ID"/>
        </w:rPr>
        <w:t xml:space="preserve">pendidikan </w:t>
      </w:r>
      <w:r w:rsidR="005861BC" w:rsidRPr="008D017E">
        <w:rPr>
          <w:rFonts w:ascii="Times New Roman" w:hAnsi="Times New Roman" w:cs="Times New Roman"/>
          <w:noProof/>
          <w:sz w:val="24"/>
          <w:szCs w:val="24"/>
        </w:rPr>
        <w:t xml:space="preserve">lain </w:t>
      </w:r>
      <w:r w:rsidR="00BA4B3D" w:rsidRPr="008D017E">
        <w:rPr>
          <w:rFonts w:ascii="Times New Roman" w:hAnsi="Times New Roman" w:cs="Times New Roman"/>
          <w:noProof/>
          <w:sz w:val="24"/>
          <w:szCs w:val="24"/>
          <w:lang w:val="id-ID"/>
        </w:rPr>
        <w:t>di Provinsi NTB</w:t>
      </w:r>
      <w:r w:rsidR="005861BC" w:rsidRPr="008D017E">
        <w:rPr>
          <w:rFonts w:ascii="Times New Roman" w:hAnsi="Times New Roman" w:cs="Times New Roman"/>
          <w:noProof/>
          <w:sz w:val="24"/>
          <w:szCs w:val="24"/>
        </w:rPr>
        <w:t>, dan di luar NTB</w:t>
      </w:r>
      <w:r w:rsidR="00BA4B3D" w:rsidRPr="008D017E">
        <w:rPr>
          <w:rFonts w:ascii="Times New Roman" w:hAnsi="Times New Roman" w:cs="Times New Roman"/>
          <w:noProof/>
          <w:sz w:val="24"/>
          <w:szCs w:val="24"/>
          <w:lang w:val="id-ID"/>
        </w:rPr>
        <w:t xml:space="preserve">. Sebagian besar (75.5%) telah terlibat dalam pendidikan klinis dan 57.14% belum pernah mengikuti pelatihan khusus. Di antara 74 pendaftar yang telah terlibat dalam pendidikan klinis, 33 (44.6%) belum pernah mengikuti pelatihan bagi pendidik klinis. Karakteristik pendaftar kegiatan bisa dilihat pada tabel 1. </w:t>
      </w:r>
    </w:p>
    <w:p w:rsidR="00BA4B3D" w:rsidRPr="008D017E" w:rsidRDefault="00BA4B3D" w:rsidP="00BA4B3D">
      <w:pPr>
        <w:ind w:left="142"/>
        <w:rPr>
          <w:rFonts w:ascii="Times New Roman" w:hAnsi="Times New Roman" w:cs="Times New Roman"/>
          <w:b/>
          <w:noProof/>
          <w:sz w:val="24"/>
          <w:szCs w:val="24"/>
          <w:lang w:val="id-ID"/>
        </w:rPr>
      </w:pPr>
      <w:r w:rsidRPr="008D017E">
        <w:rPr>
          <w:rFonts w:ascii="Times New Roman" w:hAnsi="Times New Roman" w:cs="Times New Roman"/>
          <w:b/>
          <w:noProof/>
          <w:sz w:val="24"/>
          <w:szCs w:val="24"/>
          <w:lang w:val="id-ID"/>
        </w:rPr>
        <w:t>Tabel 1. Karakteristik peserta yang mendaftar webinar</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027"/>
        <w:gridCol w:w="992"/>
      </w:tblGrid>
      <w:tr w:rsidR="00BA4B3D" w:rsidRPr="008D017E" w:rsidTr="004434AE">
        <w:tc>
          <w:tcPr>
            <w:tcW w:w="4678" w:type="dxa"/>
            <w:tcBorders>
              <w:top w:val="single" w:sz="4" w:space="0" w:color="auto"/>
              <w:bottom w:val="single" w:sz="4" w:space="0" w:color="auto"/>
            </w:tcBorders>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Karakteristik </w:t>
            </w:r>
          </w:p>
        </w:tc>
        <w:tc>
          <w:tcPr>
            <w:tcW w:w="1027" w:type="dxa"/>
            <w:tcBorders>
              <w:top w:val="single" w:sz="4" w:space="0" w:color="auto"/>
              <w:bottom w:val="single" w:sz="4" w:space="0" w:color="auto"/>
            </w:tcBorders>
          </w:tcPr>
          <w:p w:rsidR="00BA4B3D" w:rsidRPr="008D017E" w:rsidRDefault="00BA4B3D" w:rsidP="00BA4B3D">
            <w:pPr>
              <w:spacing w:line="276" w:lineRule="auto"/>
              <w:jc w:val="right"/>
              <w:rPr>
                <w:rFonts w:ascii="Times New Roman" w:hAnsi="Times New Roman" w:cs="Times New Roman"/>
                <w:b/>
                <w:noProof/>
                <w:sz w:val="24"/>
                <w:szCs w:val="24"/>
              </w:rPr>
            </w:pPr>
            <w:r w:rsidRPr="008D017E">
              <w:rPr>
                <w:rFonts w:ascii="Times New Roman" w:hAnsi="Times New Roman" w:cs="Times New Roman"/>
                <w:b/>
                <w:noProof/>
                <w:sz w:val="24"/>
                <w:szCs w:val="24"/>
              </w:rPr>
              <w:t>N</w:t>
            </w:r>
          </w:p>
        </w:tc>
        <w:tc>
          <w:tcPr>
            <w:tcW w:w="992" w:type="dxa"/>
            <w:tcBorders>
              <w:top w:val="single" w:sz="4" w:space="0" w:color="auto"/>
              <w:bottom w:val="single" w:sz="4" w:space="0" w:color="auto"/>
            </w:tcBorders>
          </w:tcPr>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w:t>
            </w:r>
          </w:p>
        </w:tc>
      </w:tr>
      <w:tr w:rsidR="00BA4B3D" w:rsidRPr="008D017E" w:rsidTr="004434AE">
        <w:tc>
          <w:tcPr>
            <w:tcW w:w="4678" w:type="dxa"/>
            <w:tcBorders>
              <w:top w:val="single" w:sz="4" w:space="0" w:color="auto"/>
            </w:tcBorders>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Profesi</w:t>
            </w:r>
          </w:p>
        </w:tc>
        <w:tc>
          <w:tcPr>
            <w:tcW w:w="1027" w:type="dxa"/>
            <w:tcBorders>
              <w:top w:val="single" w:sz="4" w:space="0" w:color="auto"/>
            </w:tcBorders>
          </w:tcPr>
          <w:p w:rsidR="00BA4B3D" w:rsidRPr="008D017E" w:rsidRDefault="00BA4B3D" w:rsidP="00BA4B3D">
            <w:pPr>
              <w:spacing w:line="276" w:lineRule="auto"/>
              <w:jc w:val="right"/>
              <w:rPr>
                <w:rFonts w:ascii="Times New Roman" w:hAnsi="Times New Roman" w:cs="Times New Roman"/>
                <w:noProof/>
                <w:sz w:val="24"/>
                <w:szCs w:val="24"/>
              </w:rPr>
            </w:pPr>
          </w:p>
        </w:tc>
        <w:tc>
          <w:tcPr>
            <w:tcW w:w="992" w:type="dxa"/>
            <w:tcBorders>
              <w:top w:val="single" w:sz="4" w:space="0" w:color="auto"/>
            </w:tcBorders>
          </w:tcPr>
          <w:p w:rsidR="00BA4B3D" w:rsidRPr="008D017E" w:rsidRDefault="00BA4B3D" w:rsidP="00BA4B3D">
            <w:pPr>
              <w:spacing w:line="276" w:lineRule="auto"/>
              <w:rPr>
                <w:rFonts w:ascii="Times New Roman" w:hAnsi="Times New Roman" w:cs="Times New Roman"/>
                <w:noProof/>
                <w:sz w:val="24"/>
                <w:szCs w:val="24"/>
              </w:rPr>
            </w:pP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 xml:space="preserve">Apoteker </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4</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4.08</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 xml:space="preserve">Bidan </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15</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15.3</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 xml:space="preserve">Dokter </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61</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62.24</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 xml:space="preserve">Perawat </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14</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14.28</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 xml:space="preserve">Lainnya </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4</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4.08</w:t>
            </w:r>
          </w:p>
        </w:tc>
      </w:tr>
      <w:tr w:rsidR="00BA4B3D" w:rsidRPr="008D017E" w:rsidTr="004434AE">
        <w:tc>
          <w:tcPr>
            <w:tcW w:w="4678" w:type="dxa"/>
          </w:tcPr>
          <w:p w:rsidR="00BA4B3D" w:rsidRPr="008D017E" w:rsidRDefault="00BA4B3D" w:rsidP="00BA4B3D">
            <w:pPr>
              <w:spacing w:line="276" w:lineRule="auto"/>
              <w:rPr>
                <w:rFonts w:ascii="Times New Roman" w:hAnsi="Times New Roman" w:cs="Times New Roman"/>
                <w:noProof/>
                <w:sz w:val="24"/>
                <w:szCs w:val="24"/>
              </w:rPr>
            </w:pP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p>
        </w:tc>
        <w:tc>
          <w:tcPr>
            <w:tcW w:w="992" w:type="dxa"/>
          </w:tcPr>
          <w:p w:rsidR="00BA4B3D" w:rsidRPr="008D017E" w:rsidRDefault="00BA4B3D" w:rsidP="00BA4B3D">
            <w:pPr>
              <w:spacing w:line="276" w:lineRule="auto"/>
              <w:rPr>
                <w:rFonts w:ascii="Times New Roman" w:hAnsi="Times New Roman" w:cs="Times New Roman"/>
                <w:noProof/>
                <w:sz w:val="24"/>
                <w:szCs w:val="24"/>
              </w:rPr>
            </w:pPr>
          </w:p>
        </w:tc>
      </w:tr>
      <w:tr w:rsidR="00BA4B3D" w:rsidRPr="008D017E" w:rsidTr="004434AE">
        <w:tc>
          <w:tcPr>
            <w:tcW w:w="4678"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Keterlibatan dalam pendidikan klinis</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p>
        </w:tc>
        <w:tc>
          <w:tcPr>
            <w:tcW w:w="992" w:type="dxa"/>
          </w:tcPr>
          <w:p w:rsidR="00BA4B3D" w:rsidRPr="008D017E" w:rsidRDefault="00BA4B3D" w:rsidP="00BA4B3D">
            <w:pPr>
              <w:spacing w:line="276" w:lineRule="auto"/>
              <w:rPr>
                <w:rFonts w:ascii="Times New Roman" w:hAnsi="Times New Roman" w:cs="Times New Roman"/>
                <w:noProof/>
                <w:sz w:val="24"/>
                <w:szCs w:val="24"/>
              </w:rPr>
            </w:pP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Sudah</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74</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75.51</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Belum, tapi akan segera terlibat</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11</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11.22</w:t>
            </w: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Mungkin, di masa yang akan datang</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13</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13.27</w:t>
            </w:r>
          </w:p>
        </w:tc>
      </w:tr>
      <w:tr w:rsidR="00BA4B3D" w:rsidRPr="008D017E" w:rsidTr="004434AE">
        <w:tc>
          <w:tcPr>
            <w:tcW w:w="4678" w:type="dxa"/>
          </w:tcPr>
          <w:p w:rsidR="00BA4B3D" w:rsidRPr="008D017E" w:rsidRDefault="00BA4B3D" w:rsidP="00BA4B3D">
            <w:pPr>
              <w:spacing w:line="276" w:lineRule="auto"/>
              <w:rPr>
                <w:rFonts w:ascii="Times New Roman" w:hAnsi="Times New Roman" w:cs="Times New Roman"/>
                <w:noProof/>
                <w:sz w:val="24"/>
                <w:szCs w:val="24"/>
              </w:rPr>
            </w:pP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p>
        </w:tc>
        <w:tc>
          <w:tcPr>
            <w:tcW w:w="992" w:type="dxa"/>
          </w:tcPr>
          <w:p w:rsidR="00BA4B3D" w:rsidRPr="008D017E" w:rsidRDefault="00BA4B3D" w:rsidP="00BA4B3D">
            <w:pPr>
              <w:spacing w:line="276" w:lineRule="auto"/>
              <w:rPr>
                <w:rFonts w:ascii="Times New Roman" w:hAnsi="Times New Roman" w:cs="Times New Roman"/>
                <w:noProof/>
                <w:sz w:val="24"/>
                <w:szCs w:val="24"/>
              </w:rPr>
            </w:pPr>
          </w:p>
        </w:tc>
      </w:tr>
      <w:tr w:rsidR="00BA4B3D" w:rsidRPr="008D017E" w:rsidTr="004434AE">
        <w:tc>
          <w:tcPr>
            <w:tcW w:w="4678"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Riwayat mengikuti pelatihan pendidik klinis sebelumnya</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p>
        </w:tc>
        <w:tc>
          <w:tcPr>
            <w:tcW w:w="992" w:type="dxa"/>
          </w:tcPr>
          <w:p w:rsidR="00BA4B3D" w:rsidRPr="008D017E" w:rsidRDefault="00BA4B3D" w:rsidP="00BA4B3D">
            <w:pPr>
              <w:spacing w:line="276" w:lineRule="auto"/>
              <w:rPr>
                <w:rFonts w:ascii="Times New Roman" w:hAnsi="Times New Roman" w:cs="Times New Roman"/>
                <w:noProof/>
                <w:sz w:val="24"/>
                <w:szCs w:val="24"/>
              </w:rPr>
            </w:pPr>
          </w:p>
        </w:tc>
      </w:tr>
      <w:tr w:rsidR="00BA4B3D" w:rsidRPr="008D017E" w:rsidTr="004434AE">
        <w:tc>
          <w:tcPr>
            <w:tcW w:w="4678" w:type="dxa"/>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Belum</w:t>
            </w:r>
          </w:p>
        </w:tc>
        <w:tc>
          <w:tcPr>
            <w:tcW w:w="1027" w:type="dxa"/>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56</w:t>
            </w:r>
          </w:p>
        </w:tc>
        <w:tc>
          <w:tcPr>
            <w:tcW w:w="992" w:type="dxa"/>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57.14</w:t>
            </w:r>
          </w:p>
        </w:tc>
      </w:tr>
      <w:tr w:rsidR="00BA4B3D" w:rsidRPr="008D017E" w:rsidTr="00347B16">
        <w:tc>
          <w:tcPr>
            <w:tcW w:w="4678" w:type="dxa"/>
            <w:tcBorders>
              <w:bottom w:val="nil"/>
            </w:tcBorders>
          </w:tcPr>
          <w:p w:rsidR="00BA4B3D" w:rsidRPr="008D017E" w:rsidRDefault="00BA4B3D" w:rsidP="00BA4B3D">
            <w:pPr>
              <w:spacing w:line="276" w:lineRule="auto"/>
              <w:ind w:left="567"/>
              <w:rPr>
                <w:rFonts w:ascii="Times New Roman" w:hAnsi="Times New Roman" w:cs="Times New Roman"/>
                <w:noProof/>
                <w:sz w:val="24"/>
                <w:szCs w:val="24"/>
              </w:rPr>
            </w:pPr>
            <w:r w:rsidRPr="008D017E">
              <w:rPr>
                <w:rFonts w:ascii="Times New Roman" w:hAnsi="Times New Roman" w:cs="Times New Roman"/>
                <w:noProof/>
                <w:sz w:val="24"/>
                <w:szCs w:val="24"/>
              </w:rPr>
              <w:t>Sudah</w:t>
            </w:r>
          </w:p>
        </w:tc>
        <w:tc>
          <w:tcPr>
            <w:tcW w:w="1027" w:type="dxa"/>
            <w:tcBorders>
              <w:bottom w:val="nil"/>
            </w:tcBorders>
          </w:tcPr>
          <w:p w:rsidR="00BA4B3D" w:rsidRPr="008D017E" w:rsidRDefault="00BA4B3D" w:rsidP="00BA4B3D">
            <w:pPr>
              <w:spacing w:line="276" w:lineRule="auto"/>
              <w:jc w:val="right"/>
              <w:rPr>
                <w:rFonts w:ascii="Times New Roman" w:hAnsi="Times New Roman" w:cs="Times New Roman"/>
                <w:noProof/>
                <w:sz w:val="24"/>
                <w:szCs w:val="24"/>
              </w:rPr>
            </w:pPr>
            <w:r w:rsidRPr="008D017E">
              <w:rPr>
                <w:rFonts w:ascii="Times New Roman" w:hAnsi="Times New Roman" w:cs="Times New Roman"/>
                <w:noProof/>
                <w:sz w:val="24"/>
                <w:szCs w:val="24"/>
              </w:rPr>
              <w:t>42</w:t>
            </w:r>
          </w:p>
        </w:tc>
        <w:tc>
          <w:tcPr>
            <w:tcW w:w="992" w:type="dxa"/>
            <w:tcBorders>
              <w:bottom w:val="nil"/>
            </w:tcBorders>
          </w:tcPr>
          <w:p w:rsidR="00BA4B3D" w:rsidRPr="008D017E" w:rsidRDefault="00BA4B3D" w:rsidP="00BA4B3D">
            <w:pPr>
              <w:spacing w:line="276" w:lineRule="auto"/>
              <w:rPr>
                <w:rFonts w:ascii="Times New Roman" w:hAnsi="Times New Roman" w:cs="Times New Roman"/>
                <w:noProof/>
                <w:sz w:val="24"/>
                <w:szCs w:val="24"/>
              </w:rPr>
            </w:pPr>
            <w:r w:rsidRPr="008D017E">
              <w:rPr>
                <w:rFonts w:ascii="Times New Roman" w:hAnsi="Times New Roman" w:cs="Times New Roman"/>
                <w:noProof/>
                <w:sz w:val="24"/>
                <w:szCs w:val="24"/>
              </w:rPr>
              <w:t>42.86</w:t>
            </w:r>
          </w:p>
        </w:tc>
      </w:tr>
      <w:tr w:rsidR="00BA4B3D" w:rsidRPr="008D017E" w:rsidTr="00347B16">
        <w:tc>
          <w:tcPr>
            <w:tcW w:w="4678" w:type="dxa"/>
            <w:tcBorders>
              <w:top w:val="nil"/>
              <w:left w:val="nil"/>
              <w:bottom w:val="nil"/>
              <w:right w:val="nil"/>
            </w:tcBorders>
          </w:tcPr>
          <w:p w:rsidR="00BA4B3D" w:rsidRPr="008D017E" w:rsidRDefault="00BA4B3D" w:rsidP="00BA4B3D">
            <w:pPr>
              <w:spacing w:line="276" w:lineRule="auto"/>
              <w:rPr>
                <w:rFonts w:ascii="Times New Roman" w:hAnsi="Times New Roman" w:cs="Times New Roman"/>
                <w:noProof/>
                <w:sz w:val="24"/>
                <w:szCs w:val="24"/>
                <w:lang w:val="en-US"/>
              </w:rPr>
            </w:pPr>
          </w:p>
          <w:p w:rsidR="00347B16" w:rsidRPr="008D017E" w:rsidRDefault="00BE2CD5" w:rsidP="00BA4B3D">
            <w:pPr>
              <w:spacing w:line="276" w:lineRule="auto"/>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Asal institusi</w:t>
            </w:r>
          </w:p>
        </w:tc>
        <w:tc>
          <w:tcPr>
            <w:tcW w:w="1027" w:type="dxa"/>
            <w:tcBorders>
              <w:top w:val="nil"/>
              <w:left w:val="nil"/>
              <w:bottom w:val="nil"/>
              <w:right w:val="nil"/>
            </w:tcBorders>
          </w:tcPr>
          <w:p w:rsidR="00BA4B3D" w:rsidRPr="008D017E" w:rsidRDefault="00BA4B3D" w:rsidP="00BA4B3D">
            <w:pPr>
              <w:spacing w:line="276" w:lineRule="auto"/>
              <w:rPr>
                <w:rFonts w:ascii="Times New Roman" w:hAnsi="Times New Roman" w:cs="Times New Roman"/>
                <w:noProof/>
                <w:sz w:val="24"/>
                <w:szCs w:val="24"/>
              </w:rPr>
            </w:pPr>
          </w:p>
        </w:tc>
        <w:tc>
          <w:tcPr>
            <w:tcW w:w="992" w:type="dxa"/>
            <w:tcBorders>
              <w:top w:val="nil"/>
              <w:left w:val="nil"/>
              <w:bottom w:val="nil"/>
              <w:right w:val="nil"/>
            </w:tcBorders>
          </w:tcPr>
          <w:p w:rsidR="00BA4B3D" w:rsidRPr="008D017E" w:rsidRDefault="00BA4B3D" w:rsidP="00BA4B3D">
            <w:pPr>
              <w:spacing w:line="276" w:lineRule="auto"/>
              <w:rPr>
                <w:rFonts w:ascii="Times New Roman" w:hAnsi="Times New Roman" w:cs="Times New Roman"/>
                <w:noProof/>
                <w:sz w:val="24"/>
                <w:szCs w:val="24"/>
              </w:rPr>
            </w:pPr>
          </w:p>
        </w:tc>
      </w:tr>
      <w:tr w:rsidR="00347B16" w:rsidRPr="008D017E" w:rsidTr="00347B16">
        <w:tc>
          <w:tcPr>
            <w:tcW w:w="4678" w:type="dxa"/>
            <w:tcBorders>
              <w:top w:val="nil"/>
              <w:left w:val="nil"/>
              <w:bottom w:val="nil"/>
              <w:right w:val="nil"/>
            </w:tcBorders>
          </w:tcPr>
          <w:p w:rsidR="00347B16" w:rsidRPr="008D017E" w:rsidRDefault="00347B16" w:rsidP="00347B16">
            <w:pPr>
              <w:ind w:left="601"/>
              <w:rPr>
                <w:rFonts w:ascii="Times New Roman" w:hAnsi="Times New Roman" w:cs="Times New Roman"/>
                <w:noProof/>
                <w:sz w:val="24"/>
                <w:szCs w:val="24"/>
              </w:rPr>
            </w:pPr>
            <w:r w:rsidRPr="008D017E">
              <w:rPr>
                <w:rFonts w:ascii="Times New Roman" w:hAnsi="Times New Roman" w:cs="Times New Roman"/>
                <w:noProof/>
                <w:sz w:val="24"/>
                <w:szCs w:val="24"/>
                <w:lang w:val="en-US"/>
              </w:rPr>
              <w:t>Fakultas Kedokteran Universitas Mataram</w:t>
            </w:r>
          </w:p>
        </w:tc>
        <w:tc>
          <w:tcPr>
            <w:tcW w:w="1027" w:type="dxa"/>
            <w:tcBorders>
              <w:top w:val="nil"/>
              <w:left w:val="nil"/>
              <w:bottom w:val="nil"/>
              <w:right w:val="nil"/>
            </w:tcBorders>
          </w:tcPr>
          <w:p w:rsidR="00347B16" w:rsidRPr="008D017E" w:rsidRDefault="000B4845" w:rsidP="00347B16">
            <w:pPr>
              <w:jc w:val="right"/>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39</w:t>
            </w:r>
          </w:p>
        </w:tc>
        <w:tc>
          <w:tcPr>
            <w:tcW w:w="992" w:type="dxa"/>
            <w:tcBorders>
              <w:top w:val="nil"/>
              <w:left w:val="nil"/>
              <w:bottom w:val="nil"/>
              <w:right w:val="nil"/>
            </w:tcBorders>
          </w:tcPr>
          <w:p w:rsidR="00347B16" w:rsidRPr="008D017E" w:rsidRDefault="000B4845" w:rsidP="00BA4B3D">
            <w:pPr>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39.8</w:t>
            </w:r>
          </w:p>
        </w:tc>
      </w:tr>
      <w:tr w:rsidR="00347B16" w:rsidRPr="008D017E" w:rsidTr="00347B16">
        <w:tc>
          <w:tcPr>
            <w:tcW w:w="4678" w:type="dxa"/>
            <w:tcBorders>
              <w:top w:val="nil"/>
              <w:left w:val="nil"/>
              <w:bottom w:val="nil"/>
              <w:right w:val="nil"/>
            </w:tcBorders>
          </w:tcPr>
          <w:p w:rsidR="00347B16" w:rsidRPr="008D017E" w:rsidRDefault="00347B16" w:rsidP="00347B16">
            <w:pPr>
              <w:ind w:left="601"/>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lastRenderedPageBreak/>
              <w:t>RS Universitas Mataram</w:t>
            </w:r>
          </w:p>
        </w:tc>
        <w:tc>
          <w:tcPr>
            <w:tcW w:w="1027" w:type="dxa"/>
            <w:tcBorders>
              <w:top w:val="nil"/>
              <w:left w:val="nil"/>
              <w:bottom w:val="nil"/>
              <w:right w:val="nil"/>
            </w:tcBorders>
          </w:tcPr>
          <w:p w:rsidR="00347B16" w:rsidRPr="008D017E" w:rsidRDefault="00347B16" w:rsidP="00347B16">
            <w:pPr>
              <w:jc w:val="right"/>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22</w:t>
            </w:r>
          </w:p>
        </w:tc>
        <w:tc>
          <w:tcPr>
            <w:tcW w:w="992" w:type="dxa"/>
            <w:tcBorders>
              <w:top w:val="nil"/>
              <w:left w:val="nil"/>
              <w:bottom w:val="nil"/>
              <w:right w:val="nil"/>
            </w:tcBorders>
          </w:tcPr>
          <w:p w:rsidR="00347B16" w:rsidRPr="008D017E" w:rsidRDefault="000B4845" w:rsidP="00BA4B3D">
            <w:pPr>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22.4</w:t>
            </w:r>
          </w:p>
        </w:tc>
      </w:tr>
      <w:tr w:rsidR="00347B16" w:rsidRPr="008D017E" w:rsidTr="00347B16">
        <w:tc>
          <w:tcPr>
            <w:tcW w:w="4678" w:type="dxa"/>
            <w:tcBorders>
              <w:top w:val="nil"/>
              <w:left w:val="nil"/>
              <w:bottom w:val="nil"/>
              <w:right w:val="nil"/>
            </w:tcBorders>
          </w:tcPr>
          <w:p w:rsidR="00347B16" w:rsidRPr="008D017E" w:rsidRDefault="00347B16" w:rsidP="00347B16">
            <w:pPr>
              <w:ind w:left="601"/>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RS lain dan Puskesmas di NTB</w:t>
            </w:r>
          </w:p>
        </w:tc>
        <w:tc>
          <w:tcPr>
            <w:tcW w:w="1027" w:type="dxa"/>
            <w:tcBorders>
              <w:top w:val="nil"/>
              <w:left w:val="nil"/>
              <w:bottom w:val="nil"/>
              <w:right w:val="nil"/>
            </w:tcBorders>
          </w:tcPr>
          <w:p w:rsidR="00347B16" w:rsidRPr="008D017E" w:rsidRDefault="00347B16" w:rsidP="00347B16">
            <w:pPr>
              <w:jc w:val="right"/>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23</w:t>
            </w:r>
          </w:p>
        </w:tc>
        <w:tc>
          <w:tcPr>
            <w:tcW w:w="992" w:type="dxa"/>
            <w:tcBorders>
              <w:top w:val="nil"/>
              <w:left w:val="nil"/>
              <w:bottom w:val="nil"/>
              <w:right w:val="nil"/>
            </w:tcBorders>
          </w:tcPr>
          <w:p w:rsidR="00347B16" w:rsidRPr="008D017E" w:rsidRDefault="000B4845" w:rsidP="00BA4B3D">
            <w:pPr>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23.5</w:t>
            </w:r>
          </w:p>
        </w:tc>
      </w:tr>
      <w:tr w:rsidR="00347B16" w:rsidRPr="008D017E" w:rsidTr="00347B16">
        <w:tc>
          <w:tcPr>
            <w:tcW w:w="4678" w:type="dxa"/>
            <w:tcBorders>
              <w:top w:val="nil"/>
              <w:left w:val="nil"/>
              <w:bottom w:val="nil"/>
              <w:right w:val="nil"/>
            </w:tcBorders>
          </w:tcPr>
          <w:p w:rsidR="00347B16" w:rsidRPr="008D017E" w:rsidRDefault="00347B16" w:rsidP="00347B16">
            <w:pPr>
              <w:ind w:left="601"/>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Institusi pendidikan profesi kesehatan di NTB</w:t>
            </w:r>
          </w:p>
        </w:tc>
        <w:tc>
          <w:tcPr>
            <w:tcW w:w="1027" w:type="dxa"/>
            <w:tcBorders>
              <w:top w:val="nil"/>
              <w:left w:val="nil"/>
              <w:bottom w:val="nil"/>
              <w:right w:val="nil"/>
            </w:tcBorders>
          </w:tcPr>
          <w:p w:rsidR="00347B16" w:rsidRPr="008D017E" w:rsidRDefault="00347B16" w:rsidP="00347B16">
            <w:pPr>
              <w:jc w:val="right"/>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11</w:t>
            </w:r>
          </w:p>
        </w:tc>
        <w:tc>
          <w:tcPr>
            <w:tcW w:w="992" w:type="dxa"/>
            <w:tcBorders>
              <w:top w:val="nil"/>
              <w:left w:val="nil"/>
              <w:bottom w:val="nil"/>
              <w:right w:val="nil"/>
            </w:tcBorders>
          </w:tcPr>
          <w:p w:rsidR="00347B16" w:rsidRPr="008D017E" w:rsidRDefault="000B4845" w:rsidP="00BA4B3D">
            <w:pPr>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11.2</w:t>
            </w:r>
          </w:p>
        </w:tc>
      </w:tr>
      <w:tr w:rsidR="00347B16" w:rsidRPr="008D017E" w:rsidTr="00347B16">
        <w:tc>
          <w:tcPr>
            <w:tcW w:w="4678" w:type="dxa"/>
            <w:tcBorders>
              <w:top w:val="nil"/>
              <w:left w:val="nil"/>
              <w:bottom w:val="single" w:sz="4" w:space="0" w:color="auto"/>
              <w:right w:val="nil"/>
            </w:tcBorders>
          </w:tcPr>
          <w:p w:rsidR="00347B16" w:rsidRPr="008D017E" w:rsidRDefault="00347B16" w:rsidP="00347B16">
            <w:pPr>
              <w:ind w:left="601"/>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Insitusi pendidikan profesi kesehatan di luar NTB</w:t>
            </w:r>
          </w:p>
        </w:tc>
        <w:tc>
          <w:tcPr>
            <w:tcW w:w="1027" w:type="dxa"/>
            <w:tcBorders>
              <w:top w:val="nil"/>
              <w:left w:val="nil"/>
              <w:bottom w:val="single" w:sz="4" w:space="0" w:color="auto"/>
              <w:right w:val="nil"/>
            </w:tcBorders>
          </w:tcPr>
          <w:p w:rsidR="00347B16" w:rsidRPr="008D017E" w:rsidRDefault="00347B16" w:rsidP="00347B16">
            <w:pPr>
              <w:jc w:val="right"/>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3</w:t>
            </w:r>
          </w:p>
        </w:tc>
        <w:tc>
          <w:tcPr>
            <w:tcW w:w="992" w:type="dxa"/>
            <w:tcBorders>
              <w:top w:val="nil"/>
              <w:left w:val="nil"/>
              <w:bottom w:val="single" w:sz="4" w:space="0" w:color="auto"/>
              <w:right w:val="nil"/>
            </w:tcBorders>
          </w:tcPr>
          <w:p w:rsidR="00347B16" w:rsidRPr="008D017E" w:rsidRDefault="000B4845" w:rsidP="00BA4B3D">
            <w:pPr>
              <w:rPr>
                <w:rFonts w:ascii="Times New Roman" w:hAnsi="Times New Roman" w:cs="Times New Roman"/>
                <w:noProof/>
                <w:sz w:val="24"/>
                <w:szCs w:val="24"/>
                <w:lang w:val="en-US"/>
              </w:rPr>
            </w:pPr>
            <w:r w:rsidRPr="008D017E">
              <w:rPr>
                <w:rFonts w:ascii="Times New Roman" w:hAnsi="Times New Roman" w:cs="Times New Roman"/>
                <w:noProof/>
                <w:sz w:val="24"/>
                <w:szCs w:val="24"/>
                <w:lang w:val="en-US"/>
              </w:rPr>
              <w:t>3.1</w:t>
            </w:r>
          </w:p>
        </w:tc>
      </w:tr>
    </w:tbl>
    <w:p w:rsidR="00347B16" w:rsidRPr="008D017E" w:rsidRDefault="00347B16" w:rsidP="00BA4B3D">
      <w:pPr>
        <w:spacing w:before="240" w:after="0"/>
        <w:ind w:left="142"/>
        <w:jc w:val="both"/>
        <w:rPr>
          <w:rFonts w:ascii="Times New Roman" w:hAnsi="Times New Roman" w:cs="Times New Roman"/>
          <w:noProof/>
          <w:sz w:val="24"/>
          <w:szCs w:val="24"/>
          <w:lang w:val="id-ID"/>
        </w:rPr>
      </w:pPr>
    </w:p>
    <w:p w:rsidR="00BA4B3D" w:rsidRPr="008D017E" w:rsidRDefault="00BA4B3D" w:rsidP="00347B16">
      <w:pPr>
        <w:jc w:val="both"/>
        <w:rPr>
          <w:rFonts w:ascii="Times New Roman" w:hAnsi="Times New Roman" w:cs="Times New Roman"/>
          <w:noProof/>
          <w:sz w:val="24"/>
          <w:szCs w:val="24"/>
          <w:lang w:val="id-ID"/>
        </w:rPr>
      </w:pPr>
      <w:r w:rsidRPr="008D017E">
        <w:rPr>
          <w:rFonts w:ascii="Times New Roman" w:hAnsi="Times New Roman" w:cs="Times New Roman"/>
          <w:noProof/>
          <w:sz w:val="24"/>
          <w:szCs w:val="24"/>
          <w:lang w:val="id-ID"/>
        </w:rPr>
        <w:t>Dari 9</w:t>
      </w:r>
      <w:r w:rsidR="000B4845" w:rsidRPr="008D017E">
        <w:rPr>
          <w:rFonts w:ascii="Times New Roman" w:hAnsi="Times New Roman" w:cs="Times New Roman"/>
          <w:noProof/>
          <w:sz w:val="24"/>
          <w:szCs w:val="24"/>
        </w:rPr>
        <w:t>8</w:t>
      </w:r>
      <w:r w:rsidRPr="008D017E">
        <w:rPr>
          <w:rFonts w:ascii="Times New Roman" w:hAnsi="Times New Roman" w:cs="Times New Roman"/>
          <w:noProof/>
          <w:sz w:val="24"/>
          <w:szCs w:val="24"/>
          <w:lang w:val="id-ID"/>
        </w:rPr>
        <w:t xml:space="preserve"> pendaftar, 60 orang mengisi tautan presensi dan postes yang diberikan di akhir acara. Jumlah ini mengindikasikan peserta yang mengikuti acara webinar hingga selesai, atau setidaknya mengikuti di bagian akhir acara. Sebanyak 52 partisipan mengisi pre dan postes kegiatan. Dari 52 orang ini, 39 orang (75%) adalah dokter, tujuh bidan (13.5%), tiga perawat (5.8%) dan tiga bidan (5.8%). Gambaran skor pengetahuan sebelum dan sesudah kegiatan dapat dilihat pada tabel 2. Data skor pengetahuan ditampilkan dalam bentuk median dan interquartile range karena hasil uji Kolmogorov-Smirnov menunjukkan bahwa data tidak terdistribusi secara normal (p &lt; 0.05). Berdasarkan analisis, didapatkan peningkatan skor pengetahuan yang bermakna secara statistik.</w:t>
      </w:r>
    </w:p>
    <w:p w:rsidR="00BA4B3D" w:rsidRPr="008D017E" w:rsidRDefault="00BA4B3D" w:rsidP="00BA4B3D">
      <w:pPr>
        <w:ind w:left="142"/>
        <w:jc w:val="both"/>
        <w:rPr>
          <w:rFonts w:ascii="Times New Roman" w:hAnsi="Times New Roman" w:cs="Times New Roman"/>
          <w:b/>
          <w:noProof/>
          <w:sz w:val="24"/>
          <w:szCs w:val="24"/>
          <w:lang w:val="id-ID"/>
        </w:rPr>
      </w:pPr>
      <w:r w:rsidRPr="008D017E">
        <w:rPr>
          <w:rFonts w:ascii="Times New Roman" w:hAnsi="Times New Roman" w:cs="Times New Roman"/>
          <w:b/>
          <w:noProof/>
          <w:sz w:val="24"/>
          <w:szCs w:val="24"/>
          <w:lang w:val="id-ID"/>
        </w:rPr>
        <w:t>Tabel 2. Skor pengetahuan sebelum dan sesudah kegiatan</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271"/>
        <w:gridCol w:w="2271"/>
        <w:gridCol w:w="2275"/>
      </w:tblGrid>
      <w:tr w:rsidR="00BA4B3D" w:rsidRPr="008D017E" w:rsidTr="004434AE">
        <w:tc>
          <w:tcPr>
            <w:tcW w:w="2283" w:type="dxa"/>
            <w:tcBorders>
              <w:top w:val="single" w:sz="4" w:space="0" w:color="auto"/>
              <w:bottom w:val="single" w:sz="4" w:space="0" w:color="auto"/>
            </w:tcBorders>
          </w:tcPr>
          <w:p w:rsidR="00BA4B3D" w:rsidRPr="008D017E" w:rsidRDefault="00BA4B3D" w:rsidP="00BA4B3D">
            <w:pPr>
              <w:spacing w:line="276" w:lineRule="auto"/>
              <w:jc w:val="both"/>
              <w:rPr>
                <w:rFonts w:ascii="Times New Roman" w:hAnsi="Times New Roman" w:cs="Times New Roman"/>
                <w:b/>
                <w:noProof/>
                <w:sz w:val="24"/>
                <w:szCs w:val="24"/>
              </w:rPr>
            </w:pPr>
          </w:p>
        </w:tc>
        <w:tc>
          <w:tcPr>
            <w:tcW w:w="2271" w:type="dxa"/>
            <w:tcBorders>
              <w:top w:val="single" w:sz="4" w:space="0" w:color="auto"/>
              <w:bottom w:val="single" w:sz="4" w:space="0" w:color="auto"/>
            </w:tcBorders>
          </w:tcPr>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Sebelum kegiatan</w:t>
            </w:r>
          </w:p>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(Pretes)</w:t>
            </w:r>
          </w:p>
        </w:tc>
        <w:tc>
          <w:tcPr>
            <w:tcW w:w="2271" w:type="dxa"/>
            <w:tcBorders>
              <w:top w:val="single" w:sz="4" w:space="0" w:color="auto"/>
              <w:bottom w:val="single" w:sz="4" w:space="0" w:color="auto"/>
            </w:tcBorders>
          </w:tcPr>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Sesudah kegiatan</w:t>
            </w:r>
          </w:p>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(Postes)</w:t>
            </w:r>
          </w:p>
        </w:tc>
        <w:tc>
          <w:tcPr>
            <w:tcW w:w="2275" w:type="dxa"/>
            <w:tcBorders>
              <w:top w:val="single" w:sz="4" w:space="0" w:color="auto"/>
              <w:bottom w:val="single" w:sz="4" w:space="0" w:color="auto"/>
            </w:tcBorders>
          </w:tcPr>
          <w:p w:rsidR="00BA4B3D" w:rsidRPr="008D017E" w:rsidRDefault="00BA4B3D" w:rsidP="00BA4B3D">
            <w:pPr>
              <w:spacing w:line="276" w:lineRule="auto"/>
              <w:jc w:val="center"/>
              <w:rPr>
                <w:rFonts w:ascii="Times New Roman" w:hAnsi="Times New Roman" w:cs="Times New Roman"/>
                <w:b/>
                <w:noProof/>
                <w:sz w:val="24"/>
                <w:szCs w:val="24"/>
              </w:rPr>
            </w:pPr>
            <w:r w:rsidRPr="008D017E">
              <w:rPr>
                <w:rFonts w:ascii="Times New Roman" w:hAnsi="Times New Roman" w:cs="Times New Roman"/>
                <w:b/>
                <w:noProof/>
                <w:sz w:val="24"/>
                <w:szCs w:val="24"/>
              </w:rPr>
              <w:t>Hasil uji statistik</w:t>
            </w:r>
          </w:p>
        </w:tc>
      </w:tr>
      <w:tr w:rsidR="00BA4B3D" w:rsidRPr="008D017E" w:rsidTr="004434AE">
        <w:tc>
          <w:tcPr>
            <w:tcW w:w="2283" w:type="dxa"/>
            <w:tcBorders>
              <w:top w:val="single" w:sz="4" w:space="0" w:color="auto"/>
            </w:tcBorders>
          </w:tcPr>
          <w:p w:rsidR="00BA4B3D" w:rsidRPr="008D017E" w:rsidRDefault="00BA4B3D" w:rsidP="00BA4B3D">
            <w:pPr>
              <w:spacing w:line="276" w:lineRule="auto"/>
              <w:jc w:val="both"/>
              <w:rPr>
                <w:rFonts w:ascii="Times New Roman" w:hAnsi="Times New Roman" w:cs="Times New Roman"/>
                <w:noProof/>
                <w:sz w:val="24"/>
                <w:szCs w:val="24"/>
              </w:rPr>
            </w:pPr>
            <w:r w:rsidRPr="008D017E">
              <w:rPr>
                <w:rFonts w:ascii="Times New Roman" w:hAnsi="Times New Roman" w:cs="Times New Roman"/>
                <w:noProof/>
                <w:sz w:val="24"/>
                <w:szCs w:val="24"/>
              </w:rPr>
              <w:t>Skor pengetahuan</w:t>
            </w:r>
          </w:p>
        </w:tc>
        <w:tc>
          <w:tcPr>
            <w:tcW w:w="2271" w:type="dxa"/>
            <w:tcBorders>
              <w:top w:val="single" w:sz="4" w:space="0" w:color="auto"/>
            </w:tcBorders>
          </w:tcPr>
          <w:p w:rsidR="00BA4B3D" w:rsidRPr="008D017E" w:rsidRDefault="00BA4B3D" w:rsidP="00BA4B3D">
            <w:pPr>
              <w:spacing w:line="276" w:lineRule="auto"/>
              <w:jc w:val="center"/>
              <w:rPr>
                <w:rFonts w:ascii="Times New Roman" w:hAnsi="Times New Roman" w:cs="Times New Roman"/>
                <w:noProof/>
                <w:sz w:val="24"/>
                <w:szCs w:val="24"/>
              </w:rPr>
            </w:pPr>
            <w:r w:rsidRPr="008D017E">
              <w:rPr>
                <w:rFonts w:ascii="Times New Roman" w:hAnsi="Times New Roman" w:cs="Times New Roman"/>
                <w:noProof/>
                <w:sz w:val="24"/>
                <w:szCs w:val="24"/>
              </w:rPr>
              <w:t>4.0 (3.0)</w:t>
            </w:r>
          </w:p>
        </w:tc>
        <w:tc>
          <w:tcPr>
            <w:tcW w:w="2271" w:type="dxa"/>
            <w:tcBorders>
              <w:top w:val="single" w:sz="4" w:space="0" w:color="auto"/>
            </w:tcBorders>
          </w:tcPr>
          <w:p w:rsidR="00BA4B3D" w:rsidRPr="008D017E" w:rsidRDefault="00BA4B3D" w:rsidP="00BA4B3D">
            <w:pPr>
              <w:spacing w:line="276" w:lineRule="auto"/>
              <w:jc w:val="center"/>
              <w:rPr>
                <w:rFonts w:ascii="Times New Roman" w:hAnsi="Times New Roman" w:cs="Times New Roman"/>
                <w:noProof/>
                <w:sz w:val="24"/>
                <w:szCs w:val="24"/>
              </w:rPr>
            </w:pPr>
            <w:r w:rsidRPr="008D017E">
              <w:rPr>
                <w:rFonts w:ascii="Times New Roman" w:hAnsi="Times New Roman" w:cs="Times New Roman"/>
                <w:noProof/>
                <w:sz w:val="24"/>
                <w:szCs w:val="24"/>
              </w:rPr>
              <w:t>6.0 (4.0)</w:t>
            </w:r>
          </w:p>
        </w:tc>
        <w:tc>
          <w:tcPr>
            <w:tcW w:w="2275" w:type="dxa"/>
            <w:tcBorders>
              <w:top w:val="single" w:sz="4" w:space="0" w:color="auto"/>
            </w:tcBorders>
          </w:tcPr>
          <w:p w:rsidR="00BA4B3D" w:rsidRPr="008D017E" w:rsidRDefault="00BA4B3D" w:rsidP="00BA4B3D">
            <w:pPr>
              <w:spacing w:line="276" w:lineRule="auto"/>
              <w:jc w:val="center"/>
              <w:rPr>
                <w:rFonts w:ascii="Times New Roman" w:hAnsi="Times New Roman" w:cs="Times New Roman"/>
                <w:noProof/>
                <w:sz w:val="24"/>
                <w:szCs w:val="24"/>
              </w:rPr>
            </w:pPr>
            <w:r w:rsidRPr="008D017E">
              <w:rPr>
                <w:rFonts w:ascii="Times New Roman" w:hAnsi="Times New Roman" w:cs="Times New Roman"/>
                <w:noProof/>
                <w:sz w:val="24"/>
                <w:szCs w:val="24"/>
              </w:rPr>
              <w:t>p = 0.001</w:t>
            </w:r>
          </w:p>
          <w:p w:rsidR="00BA4B3D" w:rsidRPr="008D017E" w:rsidRDefault="00BA4B3D" w:rsidP="00BA4B3D">
            <w:pPr>
              <w:spacing w:line="276" w:lineRule="auto"/>
              <w:jc w:val="center"/>
              <w:rPr>
                <w:rFonts w:ascii="Times New Roman" w:hAnsi="Times New Roman" w:cs="Times New Roman"/>
                <w:noProof/>
                <w:sz w:val="24"/>
                <w:szCs w:val="24"/>
              </w:rPr>
            </w:pPr>
            <w:r w:rsidRPr="008D017E">
              <w:rPr>
                <w:rFonts w:ascii="Times New Roman" w:hAnsi="Times New Roman" w:cs="Times New Roman"/>
                <w:noProof/>
                <w:sz w:val="24"/>
                <w:szCs w:val="24"/>
              </w:rPr>
              <w:t>Uji Wilcoxon</w:t>
            </w:r>
          </w:p>
        </w:tc>
      </w:tr>
    </w:tbl>
    <w:p w:rsidR="0007475B" w:rsidRPr="008D017E" w:rsidRDefault="0007475B" w:rsidP="00BA4B3D">
      <w:pPr>
        <w:jc w:val="both"/>
        <w:rPr>
          <w:rFonts w:ascii="Times New Roman" w:hAnsi="Times New Roman" w:cs="Times New Roman"/>
          <w:noProof/>
          <w:sz w:val="24"/>
          <w:szCs w:val="24"/>
        </w:rPr>
      </w:pPr>
    </w:p>
    <w:p w:rsidR="00BA4B3D" w:rsidRPr="008D017E" w:rsidRDefault="00BE2CD5" w:rsidP="00BA4B3D">
      <w:pPr>
        <w:jc w:val="both"/>
        <w:rPr>
          <w:rFonts w:ascii="Times New Roman" w:hAnsi="Times New Roman" w:cs="Times New Roman"/>
          <w:noProof/>
          <w:sz w:val="24"/>
          <w:szCs w:val="24"/>
          <w:lang w:val="id-ID"/>
        </w:rPr>
      </w:pPr>
      <w:r w:rsidRPr="008D017E">
        <w:rPr>
          <w:rFonts w:ascii="Times New Roman" w:hAnsi="Times New Roman" w:cs="Times New Roman"/>
          <w:noProof/>
          <w:sz w:val="24"/>
          <w:szCs w:val="24"/>
        </w:rPr>
        <w:t xml:space="preserve">Sebagian besar partisipan webinar ini belum pernah terpapar kegiatan pelatihan pendidik klinis, karena itu median skor pretes </w:t>
      </w:r>
      <w:r w:rsidR="0007475B" w:rsidRPr="008D017E">
        <w:rPr>
          <w:rFonts w:ascii="Times New Roman" w:hAnsi="Times New Roman" w:cs="Times New Roman"/>
          <w:noProof/>
          <w:sz w:val="24"/>
          <w:szCs w:val="24"/>
        </w:rPr>
        <w:t xml:space="preserve">yang didapatkan </w:t>
      </w:r>
      <w:r w:rsidRPr="008D017E">
        <w:rPr>
          <w:rFonts w:ascii="Times New Roman" w:hAnsi="Times New Roman" w:cs="Times New Roman"/>
          <w:noProof/>
          <w:sz w:val="24"/>
          <w:szCs w:val="24"/>
        </w:rPr>
        <w:t>rendah (4.00 dari skor maksimal 10.00). Namun demikian, h</w:t>
      </w:r>
      <w:r w:rsidR="00BA4B3D" w:rsidRPr="008D017E">
        <w:rPr>
          <w:rFonts w:ascii="Times New Roman" w:hAnsi="Times New Roman" w:cs="Times New Roman"/>
          <w:noProof/>
          <w:sz w:val="24"/>
          <w:szCs w:val="24"/>
          <w:lang w:val="id-ID"/>
        </w:rPr>
        <w:t>asil yang dicapai dalam kegiatan ini menunjukkan bahwa webinar yang dilaksanakan mampu meningkatkan pengetahuan mengenai kete</w:t>
      </w:r>
      <w:r w:rsidRPr="008D017E">
        <w:rPr>
          <w:rFonts w:ascii="Times New Roman" w:hAnsi="Times New Roman" w:cs="Times New Roman"/>
          <w:noProof/>
          <w:sz w:val="24"/>
          <w:szCs w:val="24"/>
          <w:lang w:val="id-ID"/>
        </w:rPr>
        <w:t>rampilan dasar pendidik klinis</w:t>
      </w:r>
      <w:r w:rsidRPr="008D017E">
        <w:rPr>
          <w:rFonts w:ascii="Times New Roman" w:hAnsi="Times New Roman" w:cs="Times New Roman"/>
          <w:noProof/>
          <w:sz w:val="24"/>
          <w:szCs w:val="24"/>
        </w:rPr>
        <w:t xml:space="preserve"> secara signifikan</w:t>
      </w:r>
      <w:r w:rsidR="000B4845" w:rsidRPr="008D017E">
        <w:rPr>
          <w:rFonts w:ascii="Times New Roman" w:hAnsi="Times New Roman" w:cs="Times New Roman"/>
          <w:noProof/>
          <w:sz w:val="24"/>
          <w:szCs w:val="24"/>
        </w:rPr>
        <w:t xml:space="preserve">. </w:t>
      </w:r>
      <w:r w:rsidR="0007475B" w:rsidRPr="008D017E">
        <w:rPr>
          <w:rFonts w:ascii="Times New Roman" w:hAnsi="Times New Roman" w:cs="Times New Roman"/>
          <w:noProof/>
          <w:sz w:val="24"/>
          <w:szCs w:val="24"/>
        </w:rPr>
        <w:t>Suatu penelitian</w:t>
      </w:r>
      <w:r w:rsidR="00BA4B3D" w:rsidRPr="008D017E">
        <w:rPr>
          <w:rFonts w:ascii="Times New Roman" w:hAnsi="Times New Roman" w:cs="Times New Roman"/>
          <w:noProof/>
          <w:sz w:val="24"/>
          <w:szCs w:val="24"/>
          <w:lang w:val="id-ID"/>
        </w:rPr>
        <w:t xml:space="preserve"> review sistematik dan meta-analisis mengenai efektivitas webinar</w:t>
      </w:r>
      <w:r w:rsidR="0007475B" w:rsidRPr="008D017E">
        <w:rPr>
          <w:rFonts w:ascii="Times New Roman" w:hAnsi="Times New Roman" w:cs="Times New Roman"/>
          <w:noProof/>
          <w:sz w:val="24"/>
          <w:szCs w:val="24"/>
        </w:rPr>
        <w:t xml:space="preserve"> menemukan</w:t>
      </w:r>
      <w:r w:rsidR="00BA4B3D" w:rsidRPr="008D017E">
        <w:rPr>
          <w:rFonts w:ascii="Times New Roman" w:hAnsi="Times New Roman" w:cs="Times New Roman"/>
          <w:noProof/>
          <w:sz w:val="24"/>
          <w:szCs w:val="24"/>
          <w:lang w:val="id-ID"/>
        </w:rPr>
        <w:t xml:space="preserve"> bahwa pembelajaran melalui webinar pada mahasiswa pendidikan tinggi dan profesional memiliki efektivitas lebih baik dibandingkan dengan metode pembelajaran lain (pembelajaran daring asinkron dan pembelajaran luring) </w:t>
      </w:r>
      <w:r w:rsidR="00BA4B3D" w:rsidRPr="008D017E">
        <w:rPr>
          <w:rFonts w:ascii="Times New Roman" w:hAnsi="Times New Roman" w:cs="Times New Roman"/>
          <w:noProof/>
          <w:sz w:val="24"/>
          <w:szCs w:val="24"/>
          <w:lang w:val="id-ID"/>
        </w:rPr>
        <w:fldChar w:fldCharType="begin" w:fldLock="1"/>
      </w:r>
      <w:r w:rsidR="00D85EDF" w:rsidRPr="008D017E">
        <w:rPr>
          <w:rFonts w:ascii="Times New Roman" w:hAnsi="Times New Roman" w:cs="Times New Roman"/>
          <w:noProof/>
          <w:sz w:val="24"/>
          <w:szCs w:val="24"/>
          <w:lang w:val="id-ID"/>
        </w:rPr>
        <w:instrText>ADDIN CSL_CITATION {"citationItems":[{"id":"ITEM-1","itemData":{"DOI":"10.1016/j.edurev.2019.100293","ISSN":"1747-938X","author":[{"dropping-particle":"","family":"Gegenfurtner","given":"Andreas","non-dropping-particle":"","parse-names":false,"suffix":""},{"dropping-particle":"","family":"Ebner","given":"Christian","non-dropping-particle":"","parse-names":false,"suffix":""}],"container-title":"Educational Research Review","id":"ITEM-1","issue":"November 2018","issued":{"date-parts":[["2019"]]},"page":"100293","publisher":"Elsevier","title":"Webinars in higher education and professional training : A meta- analysis and systematic review of randomized controlled trials","type":"article-journal","volume":"28"},"uris":["http://www.mendeley.com/documents/?uuid=49969ef3-e537-4c0f-8d33-516e2054a967"]}],"mendeley":{"formattedCitation":"(Gegenfurtner and Ebner, 2019)","plainTextFormattedCitation":"(Gegenfurtner and Ebner, 2019)","previouslyFormattedCitation":"(Gegenfurtner and Ebner, 2019)"},"properties":{"noteIndex":0},"schema":"https://github.com/citation-style-language/schema/raw/master/csl-citation.json"}</w:instrText>
      </w:r>
      <w:r w:rsidR="00BA4B3D" w:rsidRPr="008D017E">
        <w:rPr>
          <w:rFonts w:ascii="Times New Roman" w:hAnsi="Times New Roman" w:cs="Times New Roman"/>
          <w:noProof/>
          <w:sz w:val="24"/>
          <w:szCs w:val="24"/>
          <w:lang w:val="id-ID"/>
        </w:rPr>
        <w:fldChar w:fldCharType="separate"/>
      </w:r>
      <w:r w:rsidR="00140C7F" w:rsidRPr="008D017E">
        <w:rPr>
          <w:rFonts w:ascii="Times New Roman" w:hAnsi="Times New Roman" w:cs="Times New Roman"/>
          <w:noProof/>
          <w:sz w:val="24"/>
          <w:szCs w:val="24"/>
          <w:lang w:val="id-ID"/>
        </w:rPr>
        <w:t>(Gegenfurtner and Ebner, 2019)</w:t>
      </w:r>
      <w:r w:rsidR="00BA4B3D" w:rsidRPr="008D017E">
        <w:rPr>
          <w:rFonts w:ascii="Times New Roman" w:hAnsi="Times New Roman" w:cs="Times New Roman"/>
          <w:noProof/>
          <w:sz w:val="24"/>
          <w:szCs w:val="24"/>
          <w:lang w:val="id-ID"/>
        </w:rPr>
        <w:fldChar w:fldCharType="end"/>
      </w:r>
      <w:r w:rsidR="00BA4B3D" w:rsidRPr="008D017E">
        <w:rPr>
          <w:rFonts w:ascii="Times New Roman" w:hAnsi="Times New Roman" w:cs="Times New Roman"/>
          <w:noProof/>
          <w:sz w:val="24"/>
          <w:szCs w:val="24"/>
          <w:lang w:val="id-ID"/>
        </w:rPr>
        <w:t xml:space="preserve">. Meskipun, pada </w:t>
      </w:r>
      <w:r w:rsidR="00C36C9D" w:rsidRPr="008D017E">
        <w:rPr>
          <w:rFonts w:ascii="Times New Roman" w:hAnsi="Times New Roman" w:cs="Times New Roman"/>
          <w:noProof/>
          <w:sz w:val="24"/>
          <w:szCs w:val="24"/>
          <w:lang w:val="id-ID"/>
        </w:rPr>
        <w:t>metode evaluasi menggunakan pre</w:t>
      </w:r>
      <w:r w:rsidR="00C36C9D" w:rsidRPr="008D017E">
        <w:rPr>
          <w:rFonts w:ascii="Times New Roman" w:hAnsi="Times New Roman" w:cs="Times New Roman"/>
          <w:noProof/>
          <w:sz w:val="24"/>
          <w:szCs w:val="24"/>
        </w:rPr>
        <w:t xml:space="preserve"> dan </w:t>
      </w:r>
      <w:r w:rsidR="00BA4B3D" w:rsidRPr="008D017E">
        <w:rPr>
          <w:rFonts w:ascii="Times New Roman" w:hAnsi="Times New Roman" w:cs="Times New Roman"/>
          <w:noProof/>
          <w:sz w:val="24"/>
          <w:szCs w:val="24"/>
          <w:lang w:val="id-ID"/>
        </w:rPr>
        <w:t xml:space="preserve">postes seperti pada kegiatan ini, efektivitas yang dilaporkan cenderung lebih tinggi </w:t>
      </w:r>
      <w:r w:rsidR="00BA4B3D" w:rsidRPr="008D017E">
        <w:rPr>
          <w:rFonts w:ascii="Times New Roman" w:hAnsi="Times New Roman" w:cs="Times New Roman"/>
          <w:i/>
          <w:noProof/>
          <w:sz w:val="24"/>
          <w:szCs w:val="24"/>
          <w:lang w:val="id-ID"/>
        </w:rPr>
        <w:t xml:space="preserve">(corrected Cohen’s d estimate 1.556) </w:t>
      </w:r>
      <w:r w:rsidR="00BA4B3D" w:rsidRPr="008D017E">
        <w:rPr>
          <w:rFonts w:ascii="Times New Roman" w:hAnsi="Times New Roman" w:cs="Times New Roman"/>
          <w:noProof/>
          <w:sz w:val="24"/>
          <w:szCs w:val="24"/>
          <w:lang w:val="id-ID"/>
        </w:rPr>
        <w:t>jika dibandingkan evaluasi dengan metode analisis peningkatan pengetahuan pada kelompok perlakuan dan kontrol</w:t>
      </w:r>
      <w:r w:rsidR="00BA4B3D" w:rsidRPr="008D017E">
        <w:rPr>
          <w:rFonts w:ascii="Times New Roman" w:hAnsi="Times New Roman" w:cs="Times New Roman"/>
          <w:i/>
          <w:noProof/>
          <w:sz w:val="24"/>
          <w:szCs w:val="24"/>
          <w:lang w:val="id-ID"/>
        </w:rPr>
        <w:t xml:space="preserve"> (gain analysis) (corrected Cohen’s d estimate 0.151)</w:t>
      </w:r>
      <w:r w:rsidR="00BA4B3D" w:rsidRPr="008D017E">
        <w:rPr>
          <w:rFonts w:ascii="Times New Roman" w:hAnsi="Times New Roman" w:cs="Times New Roman"/>
          <w:noProof/>
          <w:sz w:val="24"/>
          <w:szCs w:val="24"/>
          <w:lang w:val="id-ID"/>
        </w:rPr>
        <w:t xml:space="preserve">. Terlepas dari jenis metode evaluasi yang dipakai untuk menilai efektivitas, studi ini melaporkan bahwa webinar memiliki efektivitas yang lebih baik dari metode lain, meskipun perbedaannya kecil. Hal ini menunjukkan bahwa webinar memiliki efektivitas yang sebanding dengan metode pembelajaran di kelas </w:t>
      </w:r>
      <w:r w:rsidR="00BA4B3D" w:rsidRPr="008D017E">
        <w:rPr>
          <w:rFonts w:ascii="Times New Roman" w:hAnsi="Times New Roman" w:cs="Times New Roman"/>
          <w:noProof/>
          <w:sz w:val="24"/>
          <w:szCs w:val="24"/>
          <w:lang w:val="id-ID"/>
        </w:rPr>
        <w:fldChar w:fldCharType="begin" w:fldLock="1"/>
      </w:r>
      <w:r w:rsidR="00D85EDF" w:rsidRPr="008D017E">
        <w:rPr>
          <w:rFonts w:ascii="Times New Roman" w:hAnsi="Times New Roman" w:cs="Times New Roman"/>
          <w:noProof/>
          <w:sz w:val="24"/>
          <w:szCs w:val="24"/>
          <w:lang w:val="id-ID"/>
        </w:rPr>
        <w:instrText>ADDIN CSL_CITATION {"citationItems":[{"id":"ITEM-1","itemData":{"DOI":"10.1016/j.edurev.2019.100293","ISSN":"1747-938X","author":[{"dropping-particle":"","family":"Gegenfurtner","given":"Andreas","non-dropping-particle":"","parse-names":false,"suffix":""},{"dropping-particle":"","family":"Ebner","given":"Christian","non-dropping-particle":"","parse-names":false,"suffix":""}],"container-title":"Educational Research Review","id":"ITEM-1","issue":"November 2018","issued":{"date-parts":[["2019"]]},"page":"100293","publisher":"Elsevier","title":"Webinars in higher education and professional training : A meta- analysis and systematic review of randomized controlled trials","type":"article-journal","volume":"28"},"uris":["http://www.mendeley.com/documents/?uuid=49969ef3-e537-4c0f-8d33-516e2054a967"]}],"mendeley":{"formattedCitation":"(Gegenfurtner and Ebner, 2019)","plainTextFormattedCitation":"(Gegenfurtner and Ebner, 2019)","previouslyFormattedCitation":"(Gegenfurtner and Ebner, 2019)"},"properties":{"noteIndex":0},"schema":"https://github.com/citation-style-language/schema/raw/master/csl-citation.json"}</w:instrText>
      </w:r>
      <w:r w:rsidR="00BA4B3D" w:rsidRPr="008D017E">
        <w:rPr>
          <w:rFonts w:ascii="Times New Roman" w:hAnsi="Times New Roman" w:cs="Times New Roman"/>
          <w:noProof/>
          <w:sz w:val="24"/>
          <w:szCs w:val="24"/>
          <w:lang w:val="id-ID"/>
        </w:rPr>
        <w:fldChar w:fldCharType="separate"/>
      </w:r>
      <w:r w:rsidR="00140C7F" w:rsidRPr="008D017E">
        <w:rPr>
          <w:rFonts w:ascii="Times New Roman" w:hAnsi="Times New Roman" w:cs="Times New Roman"/>
          <w:noProof/>
          <w:sz w:val="24"/>
          <w:szCs w:val="24"/>
          <w:lang w:val="id-ID"/>
        </w:rPr>
        <w:t>(Gegenfurtner and Ebner, 2019)</w:t>
      </w:r>
      <w:r w:rsidR="00BA4B3D" w:rsidRPr="008D017E">
        <w:rPr>
          <w:rFonts w:ascii="Times New Roman" w:hAnsi="Times New Roman" w:cs="Times New Roman"/>
          <w:noProof/>
          <w:sz w:val="24"/>
          <w:szCs w:val="24"/>
          <w:lang w:val="id-ID"/>
        </w:rPr>
        <w:fldChar w:fldCharType="end"/>
      </w:r>
      <w:r w:rsidR="00BA4B3D" w:rsidRPr="008D017E">
        <w:rPr>
          <w:rFonts w:ascii="Times New Roman" w:hAnsi="Times New Roman" w:cs="Times New Roman"/>
          <w:noProof/>
          <w:sz w:val="24"/>
          <w:szCs w:val="24"/>
          <w:lang w:val="id-ID"/>
        </w:rPr>
        <w:t xml:space="preserve">. </w:t>
      </w:r>
    </w:p>
    <w:p w:rsidR="000B4845" w:rsidRPr="008D017E" w:rsidRDefault="00BA4B3D" w:rsidP="00BA4B3D">
      <w:pPr>
        <w:jc w:val="both"/>
        <w:rPr>
          <w:rFonts w:ascii="Times New Roman" w:hAnsi="Times New Roman" w:cs="Times New Roman"/>
          <w:noProof/>
          <w:sz w:val="24"/>
          <w:szCs w:val="24"/>
        </w:rPr>
      </w:pPr>
      <w:r w:rsidRPr="008D017E">
        <w:rPr>
          <w:rFonts w:ascii="Times New Roman" w:hAnsi="Times New Roman" w:cs="Times New Roman"/>
          <w:noProof/>
          <w:sz w:val="24"/>
          <w:szCs w:val="24"/>
          <w:lang w:val="id-ID"/>
        </w:rPr>
        <w:t>Penyelenggaraan kegiatan pengembangan diri dan profesi melalui webin</w:t>
      </w:r>
      <w:r w:rsidR="008561FB" w:rsidRPr="008D017E">
        <w:rPr>
          <w:rFonts w:ascii="Times New Roman" w:hAnsi="Times New Roman" w:cs="Times New Roman"/>
          <w:noProof/>
          <w:sz w:val="24"/>
          <w:szCs w:val="24"/>
          <w:lang w:val="id-ID"/>
        </w:rPr>
        <w:t>ar menawarkan banyak keuntungan</w:t>
      </w:r>
      <w:r w:rsidR="008561FB" w:rsidRPr="008D017E">
        <w:rPr>
          <w:rFonts w:ascii="Times New Roman" w:hAnsi="Times New Roman" w:cs="Times New Roman"/>
          <w:noProof/>
          <w:sz w:val="24"/>
          <w:szCs w:val="24"/>
        </w:rPr>
        <w:t xml:space="preserve"> yaitu</w:t>
      </w:r>
      <w:r w:rsidR="008561FB" w:rsidRPr="008D017E">
        <w:rPr>
          <w:rFonts w:ascii="Times New Roman" w:hAnsi="Times New Roman" w:cs="Times New Roman"/>
          <w:noProof/>
          <w:sz w:val="24"/>
          <w:szCs w:val="24"/>
          <w:lang w:val="id-ID"/>
        </w:rPr>
        <w:t xml:space="preserve"> </w:t>
      </w:r>
      <w:r w:rsidR="008561FB" w:rsidRPr="008D017E">
        <w:rPr>
          <w:rFonts w:ascii="Times New Roman" w:hAnsi="Times New Roman" w:cs="Times New Roman"/>
          <w:noProof/>
          <w:sz w:val="24"/>
          <w:szCs w:val="24"/>
        </w:rPr>
        <w:t>a</w:t>
      </w:r>
      <w:r w:rsidRPr="008D017E">
        <w:rPr>
          <w:rFonts w:ascii="Times New Roman" w:hAnsi="Times New Roman" w:cs="Times New Roman"/>
          <w:noProof/>
          <w:sz w:val="24"/>
          <w:szCs w:val="24"/>
          <w:lang w:val="id-ID"/>
        </w:rPr>
        <w:t xml:space="preserve">kses yang lebih mudah, sumber belajar disesuaikan dengan </w:t>
      </w:r>
      <w:r w:rsidRPr="008D017E">
        <w:rPr>
          <w:rFonts w:ascii="Times New Roman" w:hAnsi="Times New Roman" w:cs="Times New Roman"/>
          <w:noProof/>
          <w:sz w:val="24"/>
          <w:szCs w:val="24"/>
          <w:lang w:val="id-ID"/>
        </w:rPr>
        <w:lastRenderedPageBreak/>
        <w:t>kebutuhan dan dapat digunakan ulang, dapat diikuti oleh partisipan di daerah perifer dan pedesaan</w:t>
      </w:r>
      <w:r w:rsidR="008561FB" w:rsidRPr="008D017E">
        <w:rPr>
          <w:rFonts w:ascii="Times New Roman" w:hAnsi="Times New Roman" w:cs="Times New Roman"/>
          <w:noProof/>
          <w:sz w:val="24"/>
          <w:szCs w:val="24"/>
        </w:rPr>
        <w:t>,</w:t>
      </w:r>
      <w:r w:rsidRPr="008D017E">
        <w:rPr>
          <w:rFonts w:ascii="Times New Roman" w:hAnsi="Times New Roman" w:cs="Times New Roman"/>
          <w:noProof/>
          <w:sz w:val="24"/>
          <w:szCs w:val="24"/>
          <w:lang w:val="id-ID"/>
        </w:rPr>
        <w:t xml:space="preserve"> dan menghemat biaya dan waktu terutama untuk bepergian </w:t>
      </w:r>
      <w:r w:rsidRPr="008D017E">
        <w:rPr>
          <w:rFonts w:ascii="Times New Roman" w:hAnsi="Times New Roman" w:cs="Times New Roman"/>
          <w:noProof/>
          <w:sz w:val="24"/>
          <w:szCs w:val="24"/>
          <w:lang w:val="id-ID"/>
        </w:rPr>
        <w:fldChar w:fldCharType="begin" w:fldLock="1"/>
      </w:r>
      <w:r w:rsidR="00D85EDF" w:rsidRPr="008D017E">
        <w:rPr>
          <w:rFonts w:ascii="Times New Roman" w:hAnsi="Times New Roman" w:cs="Times New Roman"/>
          <w:noProof/>
          <w:sz w:val="24"/>
          <w:szCs w:val="24"/>
          <w:lang w:val="id-ID"/>
        </w:rPr>
        <w:instrText>ADDIN CSL_CITATION {"citationItems":[{"id":"ITEM-1","itemData":{"DOI":"10.1080/0142159X.2020.1775185","ISSN":"0142-159X","author":[{"dropping-particle":"","family":"Topor","given":"David R","non-dropping-particle":"","parse-names":false,"suffix":""},{"dropping-particle":"","family":"Budson","given":"Andrew E","non-dropping-particle":"","parse-names":false,"suffix":""},{"dropping-particle":"","family":"Topor","given":"David R","non-dropping-particle":"","parse-names":false,"suffix":""},{"dropping-particle":"","family":"Budson","given":"Andrew E","non-dropping-particle":"","parse-names":false,"suffix":""}],"container-title":"Medical Teacher","id":"ITEM-1","issue":"0","issued":{"date-parts":[["2020"]]},"page":"1-5","publisher":"Taylor &amp; Francis","title":"Twelve tips to present an effective webinar","type":"article-journal","volume":"0"},"label":"chapter","uris":["http://www.mendeley.com/documents/?uuid=e1f45010-cd05-46a3-a17f-2194863d46ed"]}],"mendeley":{"formattedCitation":"(Topor &lt;i&gt;et al.&lt;/i&gt;, 2020)","plainTextFormattedCitation":"(Topor et al., 2020)","previouslyFormattedCitation":"(Topor &lt;i&gt;et al.&lt;/i&gt;, 2020)"},"properties":{"noteIndex":0},"schema":"https://github.com/citation-style-language/schema/raw/master/csl-citation.json"}</w:instrText>
      </w:r>
      <w:r w:rsidRPr="008D017E">
        <w:rPr>
          <w:rFonts w:ascii="Times New Roman" w:hAnsi="Times New Roman" w:cs="Times New Roman"/>
          <w:noProof/>
          <w:sz w:val="24"/>
          <w:szCs w:val="24"/>
          <w:lang w:val="id-ID"/>
        </w:rPr>
        <w:fldChar w:fldCharType="separate"/>
      </w:r>
      <w:r w:rsidR="00140C7F" w:rsidRPr="008D017E">
        <w:rPr>
          <w:rFonts w:ascii="Times New Roman" w:hAnsi="Times New Roman" w:cs="Times New Roman"/>
          <w:noProof/>
          <w:sz w:val="24"/>
          <w:szCs w:val="24"/>
          <w:lang w:val="id-ID"/>
        </w:rPr>
        <w:t xml:space="preserve">(Topor </w:t>
      </w:r>
      <w:r w:rsidR="00140C7F" w:rsidRPr="008D017E">
        <w:rPr>
          <w:rFonts w:ascii="Times New Roman" w:hAnsi="Times New Roman" w:cs="Times New Roman"/>
          <w:i/>
          <w:noProof/>
          <w:sz w:val="24"/>
          <w:szCs w:val="24"/>
          <w:lang w:val="id-ID"/>
        </w:rPr>
        <w:t>et al.</w:t>
      </w:r>
      <w:r w:rsidR="00140C7F" w:rsidRPr="008D017E">
        <w:rPr>
          <w:rFonts w:ascii="Times New Roman" w:hAnsi="Times New Roman" w:cs="Times New Roman"/>
          <w:noProof/>
          <w:sz w:val="24"/>
          <w:szCs w:val="24"/>
          <w:lang w:val="id-ID"/>
        </w:rPr>
        <w:t>, 2020)</w:t>
      </w:r>
      <w:r w:rsidRPr="008D017E">
        <w:rPr>
          <w:rFonts w:ascii="Times New Roman" w:hAnsi="Times New Roman" w:cs="Times New Roman"/>
          <w:noProof/>
          <w:sz w:val="24"/>
          <w:szCs w:val="24"/>
          <w:lang w:val="id-ID"/>
        </w:rPr>
        <w:fldChar w:fldCharType="end"/>
      </w:r>
      <w:r w:rsidRPr="008D017E">
        <w:rPr>
          <w:rFonts w:ascii="Times New Roman" w:hAnsi="Times New Roman" w:cs="Times New Roman"/>
          <w:noProof/>
          <w:sz w:val="24"/>
          <w:szCs w:val="24"/>
          <w:lang w:val="id-ID"/>
        </w:rPr>
        <w:t xml:space="preserve">. Pelaksanaan kegiatan pengembangan diri bagi profesional kedokteran dan kesehatan melalui webinar juga meminimalkan disrupsi dan dampak negatif absennya dokter terhadap pelayanan klinis karena mengikuti pelatihan </w:t>
      </w:r>
      <w:r w:rsidRPr="008D017E">
        <w:rPr>
          <w:rFonts w:ascii="Times New Roman" w:hAnsi="Times New Roman" w:cs="Times New Roman"/>
          <w:noProof/>
          <w:sz w:val="24"/>
          <w:szCs w:val="24"/>
          <w:lang w:val="id-ID"/>
        </w:rPr>
        <w:fldChar w:fldCharType="begin" w:fldLock="1"/>
      </w:r>
      <w:r w:rsidR="00D85EDF" w:rsidRPr="008D017E">
        <w:rPr>
          <w:rFonts w:ascii="Times New Roman" w:hAnsi="Times New Roman" w:cs="Times New Roman"/>
          <w:noProof/>
          <w:sz w:val="24"/>
          <w:szCs w:val="24"/>
          <w:lang w:val="id-ID"/>
        </w:rPr>
        <w:instrText>ADDIN CSL_CITATION {"citationItems":[{"id":"ITEM-1","itemData":{"DOI":"10.1080/0142159X.2020.1775185","ISSN":"0142-159X","author":[{"dropping-particle":"","family":"Topor","given":"David R","non-dropping-particle":"","parse-names":false,"suffix":""},{"dropping-particle":"","family":"Budson","given":"Andrew E","non-dropping-particle":"","parse-names":false,"suffix":""},{"dropping-particle":"","family":"Topor","given":"David R","non-dropping-particle":"","parse-names":false,"suffix":""},{"dropping-particle":"","family":"Budson","given":"Andrew E","non-dropping-particle":"","parse-names":false,"suffix":""}],"container-title":"Medical Teacher","id":"ITEM-1","issue":"0","issued":{"date-parts":[["2020"]]},"page":"1-5","publisher":"Taylor &amp; Francis","title":"Twelve tips to present an effective webinar","type":"article-journal","volume":"0"},"label":"chapter","uris":["http://www.mendeley.com/documents/?uuid=e1f45010-cd05-46a3-a17f-2194863d46ed"]}],"mendeley":{"formattedCitation":"(Topor &lt;i&gt;et al.&lt;/i&gt;, 2020)","plainTextFormattedCitation":"(Topor et al., 2020)","previouslyFormattedCitation":"(Topor &lt;i&gt;et al.&lt;/i&gt;, 2020)"},"properties":{"noteIndex":0},"schema":"https://github.com/citation-style-language/schema/raw/master/csl-citation.json"}</w:instrText>
      </w:r>
      <w:r w:rsidRPr="008D017E">
        <w:rPr>
          <w:rFonts w:ascii="Times New Roman" w:hAnsi="Times New Roman" w:cs="Times New Roman"/>
          <w:noProof/>
          <w:sz w:val="24"/>
          <w:szCs w:val="24"/>
          <w:lang w:val="id-ID"/>
        </w:rPr>
        <w:fldChar w:fldCharType="separate"/>
      </w:r>
      <w:r w:rsidR="00140C7F" w:rsidRPr="008D017E">
        <w:rPr>
          <w:rFonts w:ascii="Times New Roman" w:hAnsi="Times New Roman" w:cs="Times New Roman"/>
          <w:noProof/>
          <w:sz w:val="24"/>
          <w:szCs w:val="24"/>
          <w:lang w:val="id-ID"/>
        </w:rPr>
        <w:t xml:space="preserve">(Topor </w:t>
      </w:r>
      <w:r w:rsidR="00140C7F" w:rsidRPr="008D017E">
        <w:rPr>
          <w:rFonts w:ascii="Times New Roman" w:hAnsi="Times New Roman" w:cs="Times New Roman"/>
          <w:i/>
          <w:noProof/>
          <w:sz w:val="24"/>
          <w:szCs w:val="24"/>
          <w:lang w:val="id-ID"/>
        </w:rPr>
        <w:t>et al.</w:t>
      </w:r>
      <w:r w:rsidR="00140C7F" w:rsidRPr="008D017E">
        <w:rPr>
          <w:rFonts w:ascii="Times New Roman" w:hAnsi="Times New Roman" w:cs="Times New Roman"/>
          <w:noProof/>
          <w:sz w:val="24"/>
          <w:szCs w:val="24"/>
          <w:lang w:val="id-ID"/>
        </w:rPr>
        <w:t>, 2020)</w:t>
      </w:r>
      <w:r w:rsidRPr="008D017E">
        <w:rPr>
          <w:rFonts w:ascii="Times New Roman" w:hAnsi="Times New Roman" w:cs="Times New Roman"/>
          <w:noProof/>
          <w:sz w:val="24"/>
          <w:szCs w:val="24"/>
          <w:lang w:val="id-ID"/>
        </w:rPr>
        <w:fldChar w:fldCharType="end"/>
      </w:r>
      <w:r w:rsidRPr="008D017E">
        <w:rPr>
          <w:rFonts w:ascii="Times New Roman" w:hAnsi="Times New Roman" w:cs="Times New Roman"/>
          <w:noProof/>
          <w:sz w:val="24"/>
          <w:szCs w:val="24"/>
          <w:lang w:val="id-ID"/>
        </w:rPr>
        <w:t xml:space="preserve">. </w:t>
      </w:r>
      <w:r w:rsidR="00602C19" w:rsidRPr="008D017E">
        <w:rPr>
          <w:rFonts w:ascii="Times New Roman" w:hAnsi="Times New Roman" w:cs="Times New Roman"/>
          <w:noProof/>
          <w:sz w:val="24"/>
          <w:szCs w:val="24"/>
        </w:rPr>
        <w:t xml:space="preserve">Terlebih, Steinert et al. </w:t>
      </w:r>
      <w:r w:rsidR="00602C19" w:rsidRPr="008D017E">
        <w:rPr>
          <w:rFonts w:ascii="Times New Roman" w:hAnsi="Times New Roman" w:cs="Times New Roman"/>
          <w:noProof/>
          <w:sz w:val="24"/>
          <w:szCs w:val="24"/>
        </w:rPr>
        <w:fldChar w:fldCharType="begin" w:fldLock="1"/>
      </w:r>
      <w:r w:rsidR="000E7BB5" w:rsidRPr="008D017E">
        <w:rPr>
          <w:rFonts w:ascii="Times New Roman" w:hAnsi="Times New Roman" w:cs="Times New Roman"/>
          <w:noProof/>
          <w:sz w:val="24"/>
          <w:szCs w:val="24"/>
        </w:rPr>
        <w:instrText>ADDIN CSL_CITATION {"citationItems":[{"id":"ITEM-1","itemData":{"DOI":"10.1111/j.1365-2923.2008.03246.x","ISSN":"03080110","PMID":"19140996","abstract":"Objectives: Participants in faculty development workshops often comment that 'those who need faculty development the most attend the least'. The goals of this study were to explore the reasons why some clinical teachers do not participate in centralised faculty development activities and to learn how we can make faculty development programmes more relevant to teachers' needs. Methods: In 2006, we conducted focus groups with 16 clinical teachers, who had not participated in faculty development activities, to ascertain their perceptions of faculty development, reasons for non-participation and perceived barriers to involvement. Content analysis and team consensus guided the data interpretation. Results: Focus group participants were aware of faculty development offerings and valued the goals of these activities. Important reasons for non-participation emerged: clinical reality, which included volume of work and lack of (protected) time; logistical issues, such as timing and the central location of organised activities; a perceived lack of financial reward and recognition for teaching, and a perceived lack of direction from, and connection to, the university. Conclusions: Clinical reality and logistical issues appeared to be greater deterrents to participation than faculty development goals, content or strategies. Moreover, when asked to discuss faculty development, teachers referred to their development as faculty members in the broadest sense, which included personal and career development. They also expressed the desire for clear guidance from the university, financial rewards and recognition for teaching, and a sense of 'belonging'. Faculty development programmes should try to address these organisational issues as well as teachers' personal and professional needs. © Blackwell Publishing Ltd 2009.","author":[{"dropping-particle":"","family":"Steinert","given":"Yvonne","non-dropping-particle":"","parse-names":false,"suffix":""},{"dropping-particle":"","family":"McLeod","given":"Peter J.","non-dropping-particle":"","parse-names":false,"suffix":""},{"dropping-particle":"","family":"Boillat","given":"Miriam","non-dropping-particle":"","parse-names":false,"suffix":""},{"dropping-particle":"","family":"Meterissian","given":"Sarkis","non-dropping-particle":"","parse-names":false,"suffix":""},{"dropping-particle":"","family":"Elizov","given":"Michelle","non-dropping-particle":"","parse-names":false,"suffix":""},{"dropping-particle":"","family":"MacDonald","given":"Mary Ellen","non-dropping-particle":"","parse-names":false,"suffix":""}],"container-title":"Medical Education","id":"ITEM-1","issue":"1","issued":{"date-parts":[["2009"]]},"page":"42-49","title":"Faculty development: A 'Field of Dreams'?","type":"article-journal","volume":"43"},"label":"chapter","suppress-author":1,"uris":["http://www.mendeley.com/documents/?uuid=656781c6-6923-42bc-8e34-8ffbcfb7ad03"]}],"mendeley":{"formattedCitation":"(2009)","plainTextFormattedCitation":"(2009)","previouslyFormattedCitation":"(2009)"},"properties":{"noteIndex":0},"schema":"https://github.com/citation-style-language/schema/raw/master/csl-citation.json"}</w:instrText>
      </w:r>
      <w:r w:rsidR="00602C19" w:rsidRPr="008D017E">
        <w:rPr>
          <w:rFonts w:ascii="Times New Roman" w:hAnsi="Times New Roman" w:cs="Times New Roman"/>
          <w:noProof/>
          <w:sz w:val="24"/>
          <w:szCs w:val="24"/>
        </w:rPr>
        <w:fldChar w:fldCharType="separate"/>
      </w:r>
      <w:r w:rsidR="00602C19" w:rsidRPr="008D017E">
        <w:rPr>
          <w:rFonts w:ascii="Times New Roman" w:hAnsi="Times New Roman" w:cs="Times New Roman"/>
          <w:noProof/>
          <w:sz w:val="24"/>
          <w:szCs w:val="24"/>
        </w:rPr>
        <w:t>(2009)</w:t>
      </w:r>
      <w:r w:rsidR="00602C19" w:rsidRPr="008D017E">
        <w:rPr>
          <w:rFonts w:ascii="Times New Roman" w:hAnsi="Times New Roman" w:cs="Times New Roman"/>
          <w:noProof/>
          <w:sz w:val="24"/>
          <w:szCs w:val="24"/>
        </w:rPr>
        <w:fldChar w:fldCharType="end"/>
      </w:r>
      <w:r w:rsidR="00602C19" w:rsidRPr="008D017E">
        <w:rPr>
          <w:rFonts w:ascii="Times New Roman" w:hAnsi="Times New Roman" w:cs="Times New Roman"/>
          <w:noProof/>
          <w:sz w:val="24"/>
          <w:szCs w:val="24"/>
        </w:rPr>
        <w:t xml:space="preserve"> menemukan bahwa kesibukan pelayanan, keterbatasan waktu, dan lokasi kegiatan yang terpusat menjadi penghambat partisipasi pendidik klinis dalam kegiatan pengembangan fakultas, sehingga pelaksanaan kegiatan ini </w:t>
      </w:r>
      <w:r w:rsidR="00C619A2" w:rsidRPr="008D017E">
        <w:rPr>
          <w:rFonts w:ascii="Times New Roman" w:hAnsi="Times New Roman" w:cs="Times New Roman"/>
          <w:noProof/>
          <w:sz w:val="24"/>
          <w:szCs w:val="24"/>
        </w:rPr>
        <w:t xml:space="preserve">melalui webinar </w:t>
      </w:r>
      <w:r w:rsidR="00602C19" w:rsidRPr="008D017E">
        <w:rPr>
          <w:rFonts w:ascii="Times New Roman" w:hAnsi="Times New Roman" w:cs="Times New Roman"/>
          <w:noProof/>
          <w:sz w:val="24"/>
          <w:szCs w:val="24"/>
        </w:rPr>
        <w:t xml:space="preserve">dapat meminimalkan hambatan-hambatan tersebut. </w:t>
      </w:r>
      <w:r w:rsidR="00C36C9D" w:rsidRPr="008D017E">
        <w:rPr>
          <w:rFonts w:ascii="Times New Roman" w:hAnsi="Times New Roman" w:cs="Times New Roman"/>
          <w:noProof/>
          <w:sz w:val="24"/>
          <w:szCs w:val="24"/>
        </w:rPr>
        <w:t xml:space="preserve"> Lebih jauh lagi, </w:t>
      </w:r>
      <w:r w:rsidR="00C619A2" w:rsidRPr="008D017E">
        <w:rPr>
          <w:rFonts w:ascii="Times New Roman" w:hAnsi="Times New Roman" w:cs="Times New Roman"/>
          <w:noProof/>
          <w:sz w:val="24"/>
          <w:szCs w:val="24"/>
        </w:rPr>
        <w:t xml:space="preserve">pelaksanaan </w:t>
      </w:r>
      <w:r w:rsidR="00C36C9D" w:rsidRPr="008D017E">
        <w:rPr>
          <w:rFonts w:ascii="Times New Roman" w:hAnsi="Times New Roman" w:cs="Times New Roman"/>
          <w:noProof/>
          <w:sz w:val="24"/>
          <w:szCs w:val="24"/>
        </w:rPr>
        <w:t>pelatihan</w:t>
      </w:r>
      <w:r w:rsidR="00C619A2" w:rsidRPr="008D017E">
        <w:rPr>
          <w:rFonts w:ascii="Times New Roman" w:hAnsi="Times New Roman" w:cs="Times New Roman"/>
          <w:noProof/>
          <w:sz w:val="24"/>
          <w:szCs w:val="24"/>
        </w:rPr>
        <w:t xml:space="preserve"> melalui webinar juga dapat menjangkau audiens yang lebih luas. </w:t>
      </w:r>
      <w:r w:rsidRPr="008D017E">
        <w:rPr>
          <w:rFonts w:ascii="Times New Roman" w:hAnsi="Times New Roman" w:cs="Times New Roman"/>
          <w:noProof/>
          <w:sz w:val="24"/>
          <w:szCs w:val="24"/>
          <w:lang w:val="id-ID"/>
        </w:rPr>
        <w:t xml:space="preserve">Pada konteks kegiatan ini, peserta kegiatan yang semula hanya ditargetkan dari satu institusi saja yaitu RS UNRAM menjadi semakin luas hingga mencakup partisipan dari institusi </w:t>
      </w:r>
      <w:r w:rsidR="00C619A2" w:rsidRPr="008D017E">
        <w:rPr>
          <w:rFonts w:ascii="Times New Roman" w:hAnsi="Times New Roman" w:cs="Times New Roman"/>
          <w:noProof/>
          <w:sz w:val="24"/>
          <w:szCs w:val="24"/>
        </w:rPr>
        <w:t xml:space="preserve">pendidikan dan pelayanan kesehatan </w:t>
      </w:r>
      <w:r w:rsidRPr="008D017E">
        <w:rPr>
          <w:rFonts w:ascii="Times New Roman" w:hAnsi="Times New Roman" w:cs="Times New Roman"/>
          <w:noProof/>
          <w:sz w:val="24"/>
          <w:szCs w:val="24"/>
          <w:lang w:val="id-ID"/>
        </w:rPr>
        <w:t>lain di pulau Lombok, serta partisipan di luar pulau Lombok.</w:t>
      </w:r>
      <w:r w:rsidR="000B4845" w:rsidRPr="008D017E">
        <w:rPr>
          <w:rFonts w:ascii="Times New Roman" w:hAnsi="Times New Roman" w:cs="Times New Roman"/>
          <w:noProof/>
          <w:sz w:val="24"/>
          <w:szCs w:val="24"/>
        </w:rPr>
        <w:t xml:space="preserve"> </w:t>
      </w:r>
    </w:p>
    <w:p w:rsidR="00E071D8" w:rsidRPr="008D017E" w:rsidRDefault="000B4845" w:rsidP="00BA4B3D">
      <w:pPr>
        <w:jc w:val="both"/>
        <w:rPr>
          <w:rFonts w:ascii="Times New Roman" w:hAnsi="Times New Roman" w:cs="Times New Roman"/>
          <w:noProof/>
          <w:sz w:val="24"/>
          <w:szCs w:val="24"/>
        </w:rPr>
      </w:pPr>
      <w:r w:rsidRPr="008D017E">
        <w:rPr>
          <w:rFonts w:ascii="Times New Roman" w:hAnsi="Times New Roman" w:cs="Times New Roman"/>
          <w:noProof/>
          <w:sz w:val="24"/>
          <w:szCs w:val="24"/>
        </w:rPr>
        <w:t>Kendati demikian, penggunaan webinar dalam kegiatan pengembangan fa</w:t>
      </w:r>
      <w:r w:rsidR="000E7BB5" w:rsidRPr="008D017E">
        <w:rPr>
          <w:rFonts w:ascii="Times New Roman" w:hAnsi="Times New Roman" w:cs="Times New Roman"/>
          <w:noProof/>
          <w:sz w:val="24"/>
          <w:szCs w:val="24"/>
        </w:rPr>
        <w:t xml:space="preserve">kultas </w:t>
      </w:r>
      <w:r w:rsidR="0073085A" w:rsidRPr="008D017E">
        <w:rPr>
          <w:rFonts w:ascii="Times New Roman" w:hAnsi="Times New Roman" w:cs="Times New Roman"/>
          <w:noProof/>
          <w:sz w:val="24"/>
          <w:szCs w:val="24"/>
        </w:rPr>
        <w:t xml:space="preserve">juga memiliki keterbatasan, yaitu hanya mengakomodasi penyampaian materi secara didaktik dan tanya jawab antara partisipan dan pembicara. Metode pembelajaran lain seperti praktik dan umpan balik, bermain peran </w:t>
      </w:r>
      <w:r w:rsidR="0073085A" w:rsidRPr="008D017E">
        <w:rPr>
          <w:rFonts w:ascii="Times New Roman" w:hAnsi="Times New Roman" w:cs="Times New Roman"/>
          <w:i/>
          <w:noProof/>
          <w:sz w:val="24"/>
          <w:szCs w:val="24"/>
        </w:rPr>
        <w:t>(</w:t>
      </w:r>
      <w:r w:rsidR="00E071D8" w:rsidRPr="008D017E">
        <w:rPr>
          <w:rFonts w:ascii="Times New Roman" w:hAnsi="Times New Roman" w:cs="Times New Roman"/>
          <w:i/>
          <w:noProof/>
          <w:sz w:val="24"/>
          <w:szCs w:val="24"/>
        </w:rPr>
        <w:t xml:space="preserve">role </w:t>
      </w:r>
      <w:r w:rsidR="0073085A" w:rsidRPr="008D017E">
        <w:rPr>
          <w:rFonts w:ascii="Times New Roman" w:hAnsi="Times New Roman" w:cs="Times New Roman"/>
          <w:i/>
          <w:noProof/>
          <w:sz w:val="24"/>
          <w:szCs w:val="24"/>
        </w:rPr>
        <w:t>play)</w:t>
      </w:r>
      <w:r w:rsidR="0073085A" w:rsidRPr="008D017E">
        <w:rPr>
          <w:rFonts w:ascii="Times New Roman" w:hAnsi="Times New Roman" w:cs="Times New Roman"/>
          <w:noProof/>
          <w:sz w:val="24"/>
          <w:szCs w:val="24"/>
        </w:rPr>
        <w:t xml:space="preserve">, dan diskusi </w:t>
      </w:r>
      <w:r w:rsidR="00CF6F58" w:rsidRPr="008D017E">
        <w:rPr>
          <w:rFonts w:ascii="Times New Roman" w:hAnsi="Times New Roman" w:cs="Times New Roman"/>
          <w:noProof/>
          <w:sz w:val="24"/>
          <w:szCs w:val="24"/>
        </w:rPr>
        <w:t>kelompok</w:t>
      </w:r>
      <w:r w:rsidR="0073085A" w:rsidRPr="008D017E">
        <w:rPr>
          <w:rFonts w:ascii="Times New Roman" w:hAnsi="Times New Roman" w:cs="Times New Roman"/>
          <w:noProof/>
          <w:sz w:val="24"/>
          <w:szCs w:val="24"/>
        </w:rPr>
        <w:t xml:space="preserve"> tidak dapat diakomodasi dalam webinar</w:t>
      </w:r>
      <w:r w:rsidR="00CF6F58" w:rsidRPr="008D017E">
        <w:rPr>
          <w:rFonts w:ascii="Times New Roman" w:hAnsi="Times New Roman" w:cs="Times New Roman"/>
          <w:noProof/>
          <w:sz w:val="24"/>
          <w:szCs w:val="24"/>
        </w:rPr>
        <w:t xml:space="preserve">. Metode-metode tersebut mendorong partisipasi aktif peserta </w:t>
      </w:r>
      <w:r w:rsidR="0073085A" w:rsidRPr="008D017E">
        <w:rPr>
          <w:rFonts w:ascii="Times New Roman" w:hAnsi="Times New Roman" w:cs="Times New Roman"/>
          <w:noProof/>
          <w:sz w:val="24"/>
          <w:szCs w:val="24"/>
        </w:rPr>
        <w:t xml:space="preserve"> </w:t>
      </w:r>
      <w:r w:rsidR="00CF6F58" w:rsidRPr="008D017E">
        <w:rPr>
          <w:rFonts w:ascii="Times New Roman" w:hAnsi="Times New Roman" w:cs="Times New Roman"/>
          <w:noProof/>
          <w:sz w:val="24"/>
          <w:szCs w:val="24"/>
        </w:rPr>
        <w:t>sehingga memberikan kesempatan untuk berefleksi dan mengaplikasikan hal yang dipelajari. Perubahan yang besar dapat terjadi apabila peserta mendapat kesempatan mengalami kesulitan pada satu atau lebih aspek yang dipelajari</w:t>
      </w:r>
      <w:r w:rsidR="00E071D8" w:rsidRPr="008D017E">
        <w:rPr>
          <w:rFonts w:ascii="Times New Roman" w:hAnsi="Times New Roman" w:cs="Times New Roman"/>
          <w:noProof/>
          <w:sz w:val="24"/>
          <w:szCs w:val="24"/>
        </w:rPr>
        <w:t xml:space="preserve">, dan kesempatan ini didapatkan terutama pada aktivitas seperti </w:t>
      </w:r>
      <w:r w:rsidR="008561FB" w:rsidRPr="008D017E">
        <w:rPr>
          <w:rFonts w:ascii="Times New Roman" w:hAnsi="Times New Roman" w:cs="Times New Roman"/>
          <w:noProof/>
          <w:sz w:val="24"/>
          <w:szCs w:val="24"/>
        </w:rPr>
        <w:t xml:space="preserve">praktik atau </w:t>
      </w:r>
      <w:r w:rsidR="00E071D8" w:rsidRPr="008D017E">
        <w:rPr>
          <w:rFonts w:ascii="Times New Roman" w:hAnsi="Times New Roman" w:cs="Times New Roman"/>
          <w:noProof/>
          <w:sz w:val="24"/>
          <w:szCs w:val="24"/>
        </w:rPr>
        <w:t>bermain peran</w:t>
      </w:r>
      <w:r w:rsidR="00CF6F58" w:rsidRPr="008D017E">
        <w:rPr>
          <w:rFonts w:ascii="Times New Roman" w:hAnsi="Times New Roman" w:cs="Times New Roman"/>
          <w:noProof/>
          <w:sz w:val="24"/>
          <w:szCs w:val="24"/>
        </w:rPr>
        <w:t xml:space="preserve"> </w:t>
      </w:r>
      <w:r w:rsidR="00CF6F58" w:rsidRPr="008D017E">
        <w:rPr>
          <w:rFonts w:ascii="Times New Roman" w:hAnsi="Times New Roman" w:cs="Times New Roman"/>
          <w:noProof/>
          <w:sz w:val="24"/>
          <w:szCs w:val="24"/>
        </w:rPr>
        <w:fldChar w:fldCharType="begin" w:fldLock="1"/>
      </w:r>
      <w:r w:rsidR="006912A1" w:rsidRPr="008D017E">
        <w:rPr>
          <w:rFonts w:ascii="Times New Roman" w:hAnsi="Times New Roman" w:cs="Times New Roman"/>
          <w:noProof/>
          <w:sz w:val="24"/>
          <w:szCs w:val="24"/>
        </w:rPr>
        <w:instrText>ADDIN CSL_CITATION {"citationItems":[{"id":"ITEM-1","itemData":{"DOI":"10.1046/j.1525-1497.12.s2.8.x","ISSN":"08848734","PMID":"9127245","author":[{"dropping-particle":"","family":"Skeff","given":"K. M.","non-dropping-particle":"","parse-names":false,"suffix":""},{"dropping-particle":"","family":"Stratos","given":"G. A.","non-dropping-particle":"","parse-names":false,"suffix":""},{"dropping-particle":"","family":"Mygdal","given":"W.","non-dropping-particle":"","parse-names":false,"suffix":""},{"dropping-particle":"","family":"DeWitt","given":"T. A.","non-dropping-particle":"","parse-names":false,"suffix":""},{"dropping-particle":"","family":"Manfred","given":"L.","non-dropping-particle":"","parse-names":false,"suffix":""},{"dropping-particle":"","family":"Quik","given":"M.","non-dropping-particle":"","parse-names":false,"suffix":""},{"dropping-particle":"","family":"Roberts","given":"K.","non-dropping-particle":"","parse-names":false,"suffix":""},{"dropping-particle":"","family":"Greenberg","given":"L.","non-dropping-particle":"","parse-names":false,"suffix":""},{"dropping-particle":"","family":"Bland","given":"C. J.","non-dropping-particle":"","parse-names":false,"suffix":""}],"container-title":"Journal of General Internal Medicine","id":"ITEM-1","issue":"SUPPL. 2","issued":{"date-parts":[["1997"]]},"title":"Faculty development: A resource for clinical teachers","type":"article-journal","volume":"12"},"uris":["http://www.mendeley.com/documents/?uuid=28356e11-bb00-4427-ada5-bc972ff7a83f"]}],"mendeley":{"formattedCitation":"(Skeff &lt;i&gt;et al.&lt;/i&gt;, 1997)","plainTextFormattedCitation":"(Skeff et al., 1997)","previouslyFormattedCitation":"(Skeff &lt;i&gt;et al.&lt;/i&gt;, 1997)"},"properties":{"noteIndex":0},"schema":"https://github.com/citation-style-language/schema/raw/master/csl-citation.json"}</w:instrText>
      </w:r>
      <w:r w:rsidR="00CF6F58" w:rsidRPr="008D017E">
        <w:rPr>
          <w:rFonts w:ascii="Times New Roman" w:hAnsi="Times New Roman" w:cs="Times New Roman"/>
          <w:noProof/>
          <w:sz w:val="24"/>
          <w:szCs w:val="24"/>
        </w:rPr>
        <w:fldChar w:fldCharType="separate"/>
      </w:r>
      <w:r w:rsidR="00CF6F58" w:rsidRPr="008D017E">
        <w:rPr>
          <w:rFonts w:ascii="Times New Roman" w:hAnsi="Times New Roman" w:cs="Times New Roman"/>
          <w:noProof/>
          <w:sz w:val="24"/>
          <w:szCs w:val="24"/>
        </w:rPr>
        <w:t xml:space="preserve">(Skeff </w:t>
      </w:r>
      <w:r w:rsidR="00CF6F58" w:rsidRPr="008D017E">
        <w:rPr>
          <w:rFonts w:ascii="Times New Roman" w:hAnsi="Times New Roman" w:cs="Times New Roman"/>
          <w:i/>
          <w:noProof/>
          <w:sz w:val="24"/>
          <w:szCs w:val="24"/>
        </w:rPr>
        <w:t>et al.</w:t>
      </w:r>
      <w:r w:rsidR="00CF6F58" w:rsidRPr="008D017E">
        <w:rPr>
          <w:rFonts w:ascii="Times New Roman" w:hAnsi="Times New Roman" w:cs="Times New Roman"/>
          <w:noProof/>
          <w:sz w:val="24"/>
          <w:szCs w:val="24"/>
        </w:rPr>
        <w:t>, 1997)</w:t>
      </w:r>
      <w:r w:rsidR="00CF6F58" w:rsidRPr="008D017E">
        <w:rPr>
          <w:rFonts w:ascii="Times New Roman" w:hAnsi="Times New Roman" w:cs="Times New Roman"/>
          <w:noProof/>
          <w:sz w:val="24"/>
          <w:szCs w:val="24"/>
        </w:rPr>
        <w:fldChar w:fldCharType="end"/>
      </w:r>
      <w:r w:rsidR="00CF6F58" w:rsidRPr="008D017E">
        <w:rPr>
          <w:rFonts w:ascii="Times New Roman" w:hAnsi="Times New Roman" w:cs="Times New Roman"/>
          <w:noProof/>
          <w:sz w:val="24"/>
          <w:szCs w:val="24"/>
        </w:rPr>
        <w:t xml:space="preserve">. </w:t>
      </w:r>
      <w:r w:rsidR="003A4131" w:rsidRPr="008D017E">
        <w:rPr>
          <w:rFonts w:ascii="Times New Roman" w:hAnsi="Times New Roman" w:cs="Times New Roman"/>
          <w:noProof/>
          <w:sz w:val="24"/>
          <w:szCs w:val="24"/>
        </w:rPr>
        <w:t xml:space="preserve">Untuk mengintegrasikan kesempatan praktik dan mendapatkan umpan balik dalam suatu sesi pengembangan fakultas yang berlangsung melalui  daring, contoh inovasi dari </w:t>
      </w:r>
      <w:r w:rsidR="00CB3EC0" w:rsidRPr="008D017E">
        <w:rPr>
          <w:rFonts w:ascii="Times New Roman" w:hAnsi="Times New Roman" w:cs="Times New Roman"/>
          <w:noProof/>
          <w:sz w:val="24"/>
          <w:szCs w:val="24"/>
        </w:rPr>
        <w:t xml:space="preserve">Merriam et al. </w:t>
      </w:r>
      <w:r w:rsidR="00CB3EC0" w:rsidRPr="008D017E">
        <w:rPr>
          <w:rFonts w:ascii="Times New Roman" w:hAnsi="Times New Roman" w:cs="Times New Roman"/>
          <w:noProof/>
          <w:sz w:val="24"/>
          <w:szCs w:val="24"/>
        </w:rPr>
        <w:fldChar w:fldCharType="begin" w:fldLock="1"/>
      </w:r>
      <w:r w:rsidR="00CB3EC0" w:rsidRPr="008D017E">
        <w:rPr>
          <w:rFonts w:ascii="Times New Roman" w:hAnsi="Times New Roman" w:cs="Times New Roman"/>
          <w:noProof/>
          <w:sz w:val="24"/>
          <w:szCs w:val="24"/>
        </w:rPr>
        <w:instrText>ADDIN CSL_CITATION {"citationItems":[{"id":"ITEM-1","itemData":{"DOI":"10.4300/JGME-D-17-00692.1","ISSN":"19498357","PMID":"30154973","abstract":"Background : Best practices for faculty development programs include longitudinal, practice-based formats incorporating experiential learning with opportunities for reflection and community building. Peer coaching for faculty development provides personalized, learner-centered, work-based learning. Implementation of traditional 1-on-1 peer coaching programs is challenging due to time, logistics, and methodological barriers. Objective : We sought to improve observation and reflection skills and to expand personal teaching practices of clinician educators. Methods : In 2016, we developed and evaluated an innovative \"1-to-many\" peer-coaching model utilizing large group review of video-recorded teaching encounters. Forty-three clinician-educator faculty in general internal medicine at the University of Pittsburgh attended at least 1 of 6 sessions between February and August 2016. Sessions were moderated by a master facilitator who guided direct observation of, and reflection on, observed teaching and highlighted efficacious teaching methods. The study evaluated the acceptability and efficacy of this novel faculty development program qualitatively, with semistructured, postcurriculum telephone interviews with 20 participating faculty. Results : All respondents stated that they would continue to attend faculty development sessions and would recommend them to others. The most frequently cited advantages included exposure to new teaching strategies, direct feedback, safe environment, community of practice, and growth mind-set, yet barriers emerged, such as discomfort reviewing video, difficulty giving feedback across hierarchy, and initial skepticism. None described the curriculum as critical or unsafe. Most reported increased self-reflection and adoption of new teaching behaviors. Conclusions : This peer-coaching, video-based faculty development program was well received, feasible, and effective in changing self-reported teaching attitudes and practices.","author":[{"dropping-particle":"","family":"Merriam","given":"Sarah B.","non-dropping-particle":"","parse-names":false,"suffix":""},{"dropping-particle":"","family":"Spataro","given":"Brielle","non-dropping-particle":"","parse-names":false,"suffix":""},{"dropping-particle":"","family":"Hamm","given":"Megan E.","non-dropping-particle":"","parse-names":false,"suffix":""},{"dropping-particle":"","family":"McNeil","given":"Melissa A.","non-dropping-particle":"","parse-names":false,"suffix":""},{"dropping-particle":"","family":"DiNardo","given":"Deborah J.","non-dropping-particle":"","parse-names":false,"suffix":""}],"container-title":"Journal of graduate medical education","id":"ITEM-1","issue":"4","issued":{"date-parts":[["2018"]]},"page":"416-422","title":"Video Observation With Guided Reflection: A Method for Continuing Teaching Education","type":"article-journal","volume":"10"},"label":"chapter","suppress-author":1,"uris":["http://www.mendeley.com/documents/?uuid=8d5887ff-d8b3-4cfd-b6d9-d76cea96f6b5"]}],"mendeley":{"formattedCitation":"(2018)","plainTextFormattedCitation":"(2018)"},"properties":{"noteIndex":0},"schema":"https://github.com/citation-style-language/schema/raw/master/csl-citation.json"}</w:instrText>
      </w:r>
      <w:r w:rsidR="00CB3EC0" w:rsidRPr="008D017E">
        <w:rPr>
          <w:rFonts w:ascii="Times New Roman" w:hAnsi="Times New Roman" w:cs="Times New Roman"/>
          <w:noProof/>
          <w:sz w:val="24"/>
          <w:szCs w:val="24"/>
        </w:rPr>
        <w:fldChar w:fldCharType="separate"/>
      </w:r>
      <w:r w:rsidR="00CB3EC0" w:rsidRPr="008D017E">
        <w:rPr>
          <w:rFonts w:ascii="Times New Roman" w:hAnsi="Times New Roman" w:cs="Times New Roman"/>
          <w:noProof/>
          <w:sz w:val="24"/>
          <w:szCs w:val="24"/>
        </w:rPr>
        <w:t>(2018)</w:t>
      </w:r>
      <w:r w:rsidR="00CB3EC0" w:rsidRPr="008D017E">
        <w:rPr>
          <w:rFonts w:ascii="Times New Roman" w:hAnsi="Times New Roman" w:cs="Times New Roman"/>
          <w:noProof/>
          <w:sz w:val="24"/>
          <w:szCs w:val="24"/>
        </w:rPr>
        <w:fldChar w:fldCharType="end"/>
      </w:r>
      <w:r w:rsidR="00CB3EC0" w:rsidRPr="008D017E">
        <w:rPr>
          <w:rFonts w:ascii="Times New Roman" w:hAnsi="Times New Roman" w:cs="Times New Roman"/>
          <w:noProof/>
          <w:sz w:val="24"/>
          <w:szCs w:val="24"/>
        </w:rPr>
        <w:t xml:space="preserve"> </w:t>
      </w:r>
      <w:r w:rsidR="003A4131" w:rsidRPr="008D017E">
        <w:rPr>
          <w:rFonts w:ascii="Times New Roman" w:hAnsi="Times New Roman" w:cs="Times New Roman"/>
          <w:noProof/>
          <w:sz w:val="24"/>
          <w:szCs w:val="24"/>
        </w:rPr>
        <w:t xml:space="preserve">dapat dimodifikasi untuk dilaksanakan secara daring. Untuk menggantikan </w:t>
      </w:r>
      <w:r w:rsidR="003A4131" w:rsidRPr="008D017E">
        <w:rPr>
          <w:rFonts w:ascii="Times New Roman" w:hAnsi="Times New Roman" w:cs="Times New Roman"/>
          <w:i/>
          <w:noProof/>
          <w:sz w:val="24"/>
          <w:szCs w:val="24"/>
        </w:rPr>
        <w:t>one-on-one peer coaching</w:t>
      </w:r>
      <w:r w:rsidR="003A4131" w:rsidRPr="008D017E">
        <w:rPr>
          <w:rFonts w:ascii="Times New Roman" w:hAnsi="Times New Roman" w:cs="Times New Roman"/>
          <w:noProof/>
          <w:sz w:val="24"/>
          <w:szCs w:val="24"/>
        </w:rPr>
        <w:t xml:space="preserve"> yang sulit dilaksanakan karena keterbatasan waktu, logistik dan metode, Merriam et al. meminta partisipan kegiatan merekam aktivitas mengajar mereka dengan ponsel pintar, dan memilih potongan video berdurasi lima menit untuk dibahas bersama-sama dengan pelatih dan partisipan lain pada sesi pelatihan. </w:t>
      </w:r>
      <w:r w:rsidR="005861BC" w:rsidRPr="008D017E">
        <w:rPr>
          <w:rFonts w:ascii="Times New Roman" w:hAnsi="Times New Roman" w:cs="Times New Roman"/>
          <w:noProof/>
          <w:sz w:val="24"/>
          <w:szCs w:val="24"/>
        </w:rPr>
        <w:t>Dengan demikian, partisipan mendapatkan kesempatan untuk mempraktikan keterampilan yang sedang dipelajari, dan bisa mendapatkan umpan balik dari pelatih dan partisipan lain pada saat kegiatan pengembangan fakultas berlangsung.</w:t>
      </w:r>
    </w:p>
    <w:p w:rsidR="00023955" w:rsidRPr="008D017E" w:rsidRDefault="006912A1" w:rsidP="00BA4B3D">
      <w:pPr>
        <w:jc w:val="both"/>
        <w:rPr>
          <w:rFonts w:ascii="Times New Roman" w:hAnsi="Times New Roman" w:cs="Times New Roman"/>
          <w:noProof/>
          <w:sz w:val="24"/>
          <w:szCs w:val="24"/>
        </w:rPr>
      </w:pPr>
      <w:r w:rsidRPr="008D017E">
        <w:rPr>
          <w:rFonts w:ascii="Times New Roman" w:hAnsi="Times New Roman" w:cs="Times New Roman"/>
          <w:noProof/>
          <w:sz w:val="24"/>
          <w:szCs w:val="24"/>
        </w:rPr>
        <w:t>Selain itu, p</w:t>
      </w:r>
      <w:r w:rsidR="00C36C9D" w:rsidRPr="008D017E">
        <w:rPr>
          <w:rFonts w:ascii="Times New Roman" w:hAnsi="Times New Roman" w:cs="Times New Roman"/>
          <w:noProof/>
          <w:sz w:val="24"/>
          <w:szCs w:val="24"/>
        </w:rPr>
        <w:t>enelitian menunjukkan bahwa s</w:t>
      </w:r>
      <w:r w:rsidR="000E7BB5" w:rsidRPr="008D017E">
        <w:rPr>
          <w:rFonts w:ascii="Times New Roman" w:hAnsi="Times New Roman" w:cs="Times New Roman"/>
          <w:noProof/>
          <w:sz w:val="24"/>
          <w:szCs w:val="24"/>
        </w:rPr>
        <w:t>alah satu p</w:t>
      </w:r>
      <w:r w:rsidR="000B4845" w:rsidRPr="008D017E">
        <w:rPr>
          <w:rFonts w:ascii="Times New Roman" w:hAnsi="Times New Roman" w:cs="Times New Roman"/>
          <w:noProof/>
          <w:sz w:val="24"/>
          <w:szCs w:val="24"/>
        </w:rPr>
        <w:t>endorong bagi dokter pendidik klinis mengikuti kegiatan pengembangan fakultas adalah kesempatan untuk bertemu dan membina koneksi dengan kolega</w:t>
      </w:r>
      <w:r w:rsidR="000E7BB5" w:rsidRPr="008D017E">
        <w:rPr>
          <w:rFonts w:ascii="Times New Roman" w:hAnsi="Times New Roman" w:cs="Times New Roman"/>
          <w:noProof/>
          <w:sz w:val="24"/>
          <w:szCs w:val="24"/>
        </w:rPr>
        <w:t xml:space="preserve"> </w:t>
      </w:r>
      <w:r w:rsidR="000E7BB5" w:rsidRPr="008D017E">
        <w:rPr>
          <w:rFonts w:ascii="Times New Roman" w:hAnsi="Times New Roman" w:cs="Times New Roman"/>
          <w:noProof/>
          <w:sz w:val="24"/>
          <w:szCs w:val="24"/>
        </w:rPr>
        <w:fldChar w:fldCharType="begin" w:fldLock="1"/>
      </w:r>
      <w:r w:rsidR="007C27EB" w:rsidRPr="008D017E">
        <w:rPr>
          <w:rFonts w:ascii="Times New Roman" w:hAnsi="Times New Roman" w:cs="Times New Roman"/>
          <w:noProof/>
          <w:sz w:val="24"/>
          <w:szCs w:val="24"/>
        </w:rPr>
        <w:instrText>ADDIN CSL_CITATION {"citationItems":[{"id":"ITEM-1","itemData":{"DOI":"10.1111/j.1365-2923.2010.03746.x","ISSN":"03080110","PMID":"20716100","abstract":"OBJECTIVES: The goals of this study were three-fold: to explore the reasons why some clinical teachers regularly attend centralised faculty development activities; to compare their responses with those of colleagues who do not attend, and to learn how we can make faculty development programmes more pertinent to teachers' needs. METHODS: In 2008-2009, we conducted focus groups with 23 clinical teachers who had participated in faculty development activities on a regular basis in order to ascertain their perceptions of faculty development, reasons for participation, and perceived barriers against involvement. Thematic analysis and research team consensus guided the data interpretation. RESULTS: Reasons for regular participation included the perceptions that: faculty development enables personal and professional growth; learning and self-improvement are valued; workshop topics are viewed as relevant to teachers' needs; the opportunity to network with colleagues is appreciated, and initial positive experiences promote ongoing involvement. Barriers against participation mirrored those cited by non-attendees in an earlier study (e.g. volume of work, lack of time, logistical factors), but did not prevent participation. Suggestions for increasing participation included introducing a 'buddy system' for junior faculty members, an orientation workshop for new staff, and increased role-modelling and mentorship. CONCLUSIONS: The conceptualisation of faculty development as a means to achieve specific objectives and the desire for relevant programming that addresses current needs (i.e., expectancies), together with an appreciation of learning, self-improvement and networking with colleagues (i.e., values), were highlighted as reasons for participation by regular attendees. Medical educators should consider these 'lessons learned' in the design and delivery of faculty development offerings. They should also continue to explore the notion of faculty development as a social practice and the application of motivational theories that include expectancy-value constructs to personal and professional development. © 2010 Blackwell Publishing Ltd.","author":[{"dropping-particle":"","family":"Steinert","given":"Yvonne","non-dropping-particle":"","parse-names":false,"suffix":""},{"dropping-particle":"","family":"Macdonald","given":"Mary Ellen","non-dropping-particle":"","parse-names":false,"suffix":""},{"dropping-particle":"","family":"Boillat","given":"Miriam","non-dropping-particle":"","parse-names":false,"suffix":""},{"dropping-particle":"","family":"Elizov","given":"Michelle","non-dropping-particle":"","parse-names":false,"suffix":""},{"dropping-particle":"","family":"Meterissian","given":"Sarkis","non-dropping-particle":"","parse-names":false,"suffix":""},{"dropping-particle":"","family":"Razack","given":"Saleem","non-dropping-particle":"","parse-names":false,"suffix":""},{"dropping-particle":"","family":"Ouellet","given":"Marie Noel","non-dropping-particle":"","parse-names":false,"suffix":""},{"dropping-particle":"","family":"McLeod","given":"Peter J.","non-dropping-particle":"","parse-names":false,"suffix":""}],"container-title":"Medical Education","id":"ITEM-1","issue":"9","issued":{"date-parts":[["2010"]]},"page":"900-907","title":"Faculty development: If you build it, they will come","type":"article-journal","volume":"44"},"uris":["http://www.mendeley.com/documents/?uuid=6462ad32-9956-419a-ac63-9583528ad9da"]}],"mendeley":{"formattedCitation":"(Steinert &lt;i&gt;et al.&lt;/i&gt;, 2010)","plainTextFormattedCitation":"(Steinert et al., 2010)","previouslyFormattedCitation":"(Steinert &lt;i&gt;et al.&lt;/i&gt;, 2010)"},"properties":{"noteIndex":0},"schema":"https://github.com/citation-style-language/schema/raw/master/csl-citation.json"}</w:instrText>
      </w:r>
      <w:r w:rsidR="000E7BB5" w:rsidRPr="008D017E">
        <w:rPr>
          <w:rFonts w:ascii="Times New Roman" w:hAnsi="Times New Roman" w:cs="Times New Roman"/>
          <w:noProof/>
          <w:sz w:val="24"/>
          <w:szCs w:val="24"/>
        </w:rPr>
        <w:fldChar w:fldCharType="separate"/>
      </w:r>
      <w:r w:rsidR="000E7BB5" w:rsidRPr="008D017E">
        <w:rPr>
          <w:rFonts w:ascii="Times New Roman" w:hAnsi="Times New Roman" w:cs="Times New Roman"/>
          <w:noProof/>
          <w:sz w:val="24"/>
          <w:szCs w:val="24"/>
        </w:rPr>
        <w:t xml:space="preserve">(Steinert </w:t>
      </w:r>
      <w:r w:rsidR="000E7BB5" w:rsidRPr="008D017E">
        <w:rPr>
          <w:rFonts w:ascii="Times New Roman" w:hAnsi="Times New Roman" w:cs="Times New Roman"/>
          <w:i/>
          <w:noProof/>
          <w:sz w:val="24"/>
          <w:szCs w:val="24"/>
        </w:rPr>
        <w:t>et al.</w:t>
      </w:r>
      <w:r w:rsidR="000E7BB5" w:rsidRPr="008D017E">
        <w:rPr>
          <w:rFonts w:ascii="Times New Roman" w:hAnsi="Times New Roman" w:cs="Times New Roman"/>
          <w:noProof/>
          <w:sz w:val="24"/>
          <w:szCs w:val="24"/>
        </w:rPr>
        <w:t>, 2010)</w:t>
      </w:r>
      <w:r w:rsidR="000E7BB5" w:rsidRPr="008D017E">
        <w:rPr>
          <w:rFonts w:ascii="Times New Roman" w:hAnsi="Times New Roman" w:cs="Times New Roman"/>
          <w:noProof/>
          <w:sz w:val="24"/>
          <w:szCs w:val="24"/>
        </w:rPr>
        <w:fldChar w:fldCharType="end"/>
      </w:r>
      <w:r w:rsidR="008561FB" w:rsidRPr="008D017E">
        <w:rPr>
          <w:rFonts w:ascii="Times New Roman" w:hAnsi="Times New Roman" w:cs="Times New Roman"/>
          <w:noProof/>
          <w:sz w:val="24"/>
          <w:szCs w:val="24"/>
        </w:rPr>
        <w:t xml:space="preserve"> dan</w:t>
      </w:r>
      <w:r w:rsidR="000E7BB5" w:rsidRPr="008D017E">
        <w:rPr>
          <w:rFonts w:ascii="Times New Roman" w:hAnsi="Times New Roman" w:cs="Times New Roman"/>
          <w:noProof/>
          <w:sz w:val="24"/>
          <w:szCs w:val="24"/>
        </w:rPr>
        <w:t xml:space="preserve"> tidak semata-mata hanya untuk meningkatkan pengetahuan atau keterampilan. </w:t>
      </w:r>
      <w:r w:rsidR="00E071D8" w:rsidRPr="008D017E">
        <w:rPr>
          <w:rFonts w:ascii="Times New Roman" w:hAnsi="Times New Roman" w:cs="Times New Roman"/>
          <w:noProof/>
          <w:sz w:val="24"/>
          <w:szCs w:val="24"/>
        </w:rPr>
        <w:t xml:space="preserve">Pelaksanaan pelatihan melalui webinar </w:t>
      </w:r>
      <w:r w:rsidR="00023955" w:rsidRPr="008D017E">
        <w:rPr>
          <w:rFonts w:ascii="Times New Roman" w:hAnsi="Times New Roman" w:cs="Times New Roman"/>
          <w:noProof/>
          <w:sz w:val="24"/>
          <w:szCs w:val="24"/>
        </w:rPr>
        <w:t xml:space="preserve">sebenarnya tidak menutup kesempatan untuk bersosialisasi, </w:t>
      </w:r>
      <w:r w:rsidR="007B29D2" w:rsidRPr="008D017E">
        <w:rPr>
          <w:rFonts w:ascii="Times New Roman" w:hAnsi="Times New Roman" w:cs="Times New Roman"/>
          <w:noProof/>
          <w:sz w:val="24"/>
          <w:szCs w:val="24"/>
        </w:rPr>
        <w:t xml:space="preserve">namun </w:t>
      </w:r>
      <w:r w:rsidRPr="008D017E">
        <w:rPr>
          <w:rFonts w:ascii="Times New Roman" w:hAnsi="Times New Roman" w:cs="Times New Roman"/>
          <w:noProof/>
          <w:sz w:val="24"/>
          <w:szCs w:val="24"/>
        </w:rPr>
        <w:t xml:space="preserve">interaksi </w:t>
      </w:r>
      <w:r w:rsidR="00023955" w:rsidRPr="008D017E">
        <w:rPr>
          <w:rFonts w:ascii="Times New Roman" w:hAnsi="Times New Roman" w:cs="Times New Roman"/>
          <w:noProof/>
          <w:sz w:val="24"/>
          <w:szCs w:val="24"/>
        </w:rPr>
        <w:t xml:space="preserve">antar partisipan </w:t>
      </w:r>
      <w:r w:rsidR="007B29D2" w:rsidRPr="008D017E">
        <w:rPr>
          <w:rFonts w:ascii="Times New Roman" w:hAnsi="Times New Roman" w:cs="Times New Roman"/>
          <w:noProof/>
          <w:sz w:val="24"/>
          <w:szCs w:val="24"/>
        </w:rPr>
        <w:t xml:space="preserve">terbatas pada </w:t>
      </w:r>
      <w:r w:rsidR="00023955" w:rsidRPr="008D017E">
        <w:rPr>
          <w:rFonts w:ascii="Times New Roman" w:hAnsi="Times New Roman" w:cs="Times New Roman"/>
          <w:noProof/>
          <w:sz w:val="24"/>
          <w:szCs w:val="24"/>
        </w:rPr>
        <w:t>percakapan teks</w:t>
      </w:r>
      <w:r w:rsidRPr="008D017E">
        <w:rPr>
          <w:rFonts w:ascii="Times New Roman" w:hAnsi="Times New Roman" w:cs="Times New Roman"/>
          <w:noProof/>
          <w:sz w:val="24"/>
          <w:szCs w:val="24"/>
        </w:rPr>
        <w:t xml:space="preserve"> di </w:t>
      </w:r>
      <w:r w:rsidRPr="008D017E">
        <w:rPr>
          <w:rFonts w:ascii="Times New Roman" w:hAnsi="Times New Roman" w:cs="Times New Roman"/>
          <w:i/>
          <w:noProof/>
          <w:sz w:val="24"/>
          <w:szCs w:val="24"/>
        </w:rPr>
        <w:t>chat box</w:t>
      </w:r>
      <w:r w:rsidRPr="008D017E">
        <w:rPr>
          <w:rFonts w:ascii="Times New Roman" w:hAnsi="Times New Roman" w:cs="Times New Roman"/>
          <w:noProof/>
          <w:sz w:val="24"/>
          <w:szCs w:val="24"/>
        </w:rPr>
        <w:t xml:space="preserve">. </w:t>
      </w:r>
      <w:r w:rsidR="00CB2134" w:rsidRPr="008D017E">
        <w:rPr>
          <w:rFonts w:ascii="Times New Roman" w:hAnsi="Times New Roman" w:cs="Times New Roman"/>
          <w:noProof/>
          <w:sz w:val="24"/>
          <w:szCs w:val="24"/>
        </w:rPr>
        <w:t xml:space="preserve">Proses sosialisasi dan terbentuknya komunitas dalam suatu webinar terjadi melalui </w:t>
      </w:r>
      <w:r w:rsidR="001738FB" w:rsidRPr="008D017E">
        <w:rPr>
          <w:rFonts w:ascii="Times New Roman" w:hAnsi="Times New Roman" w:cs="Times New Roman"/>
          <w:noProof/>
          <w:sz w:val="24"/>
          <w:szCs w:val="24"/>
        </w:rPr>
        <w:t xml:space="preserve">beberapa hal, yaitu </w:t>
      </w:r>
      <w:r w:rsidR="008561FB" w:rsidRPr="008D017E">
        <w:rPr>
          <w:rFonts w:ascii="Times New Roman" w:hAnsi="Times New Roman" w:cs="Times New Roman"/>
          <w:noProof/>
          <w:sz w:val="24"/>
          <w:szCs w:val="24"/>
        </w:rPr>
        <w:t xml:space="preserve">melalui </w:t>
      </w:r>
      <w:r w:rsidR="00CB2134" w:rsidRPr="008D017E">
        <w:rPr>
          <w:rFonts w:ascii="Times New Roman" w:hAnsi="Times New Roman" w:cs="Times New Roman"/>
          <w:noProof/>
          <w:sz w:val="24"/>
          <w:szCs w:val="24"/>
        </w:rPr>
        <w:t xml:space="preserve">fasilitasi dan dorongan yang diberikan oleh moderator </w:t>
      </w:r>
      <w:r w:rsidR="001738FB" w:rsidRPr="008D017E">
        <w:rPr>
          <w:rFonts w:ascii="Times New Roman" w:hAnsi="Times New Roman" w:cs="Times New Roman"/>
          <w:noProof/>
          <w:sz w:val="24"/>
          <w:szCs w:val="24"/>
        </w:rPr>
        <w:t>untuk bertanya atau berkomentar, serta</w:t>
      </w:r>
      <w:r w:rsidR="00CB2134" w:rsidRPr="008D017E">
        <w:rPr>
          <w:rFonts w:ascii="Times New Roman" w:hAnsi="Times New Roman" w:cs="Times New Roman"/>
          <w:noProof/>
          <w:sz w:val="24"/>
          <w:szCs w:val="24"/>
        </w:rPr>
        <w:t xml:space="preserve"> </w:t>
      </w:r>
      <w:r w:rsidR="001738FB" w:rsidRPr="008D017E">
        <w:rPr>
          <w:rFonts w:ascii="Times New Roman" w:hAnsi="Times New Roman" w:cs="Times New Roman"/>
          <w:noProof/>
          <w:sz w:val="24"/>
          <w:szCs w:val="24"/>
        </w:rPr>
        <w:t>perilaku s</w:t>
      </w:r>
      <w:r w:rsidR="00CB2134" w:rsidRPr="008D017E">
        <w:rPr>
          <w:rFonts w:ascii="Times New Roman" w:hAnsi="Times New Roman" w:cs="Times New Roman"/>
          <w:noProof/>
          <w:sz w:val="24"/>
          <w:szCs w:val="24"/>
        </w:rPr>
        <w:t xml:space="preserve">aling </w:t>
      </w:r>
      <w:r w:rsidR="001738FB" w:rsidRPr="008D017E">
        <w:rPr>
          <w:rFonts w:ascii="Times New Roman" w:hAnsi="Times New Roman" w:cs="Times New Roman"/>
          <w:noProof/>
          <w:sz w:val="24"/>
          <w:szCs w:val="24"/>
        </w:rPr>
        <w:t xml:space="preserve"> sapa antar partisipan, saling </w:t>
      </w:r>
      <w:r w:rsidR="00CB2134" w:rsidRPr="008D017E">
        <w:rPr>
          <w:rFonts w:ascii="Times New Roman" w:hAnsi="Times New Roman" w:cs="Times New Roman"/>
          <w:noProof/>
          <w:sz w:val="24"/>
          <w:szCs w:val="24"/>
        </w:rPr>
        <w:t xml:space="preserve">menawarkan bantuan atau mencari </w:t>
      </w:r>
      <w:r w:rsidR="001738FB" w:rsidRPr="008D017E">
        <w:rPr>
          <w:rFonts w:ascii="Times New Roman" w:hAnsi="Times New Roman" w:cs="Times New Roman"/>
          <w:noProof/>
          <w:sz w:val="24"/>
          <w:szCs w:val="24"/>
        </w:rPr>
        <w:t>partisipan lain yang seminat. Semua interaksi ini terjadi melalui percakapan teks</w:t>
      </w:r>
      <w:r w:rsidR="00CB2134" w:rsidRPr="008D017E">
        <w:rPr>
          <w:rFonts w:ascii="Times New Roman" w:hAnsi="Times New Roman" w:cs="Times New Roman"/>
          <w:noProof/>
          <w:sz w:val="24"/>
          <w:szCs w:val="24"/>
        </w:rPr>
        <w:t xml:space="preserve">  </w:t>
      </w:r>
      <w:r w:rsidRPr="008D017E">
        <w:rPr>
          <w:rFonts w:ascii="Times New Roman" w:hAnsi="Times New Roman" w:cs="Times New Roman"/>
          <w:noProof/>
          <w:sz w:val="24"/>
          <w:szCs w:val="24"/>
        </w:rPr>
        <w:fldChar w:fldCharType="begin" w:fldLock="1"/>
      </w:r>
      <w:r w:rsidR="00CB3EC0" w:rsidRPr="008D017E">
        <w:rPr>
          <w:rFonts w:ascii="Times New Roman" w:hAnsi="Times New Roman" w:cs="Times New Roman"/>
          <w:noProof/>
          <w:sz w:val="24"/>
          <w:szCs w:val="24"/>
        </w:rPr>
        <w:instrText>ADDIN CSL_CITATION {"citationItems":[{"id":"ITEM-1","itemData":{"ISSN":"1927-6117","author":[{"dropping-particle":"","family":"Odo","given":"Dennis Murphy","non-dropping-particle":"","parse-names":false,"suffix":""},{"dropping-particle":"","family":"Pace","given":"Christi","non-dropping-particle":"","parse-names":false,"suffix":""},{"dropping-particle":"","family":"Albers","given":"Peggy","non-dropping-particle":"","parse-names":false,"suffix":""}],"container-title":"in Education","id":"ITEM-1","issue":"1","issued":{"date-parts":[["2017"]]},"page":"41-65","title":"Socialization through (Online) Design: Moving into Online Critical Spaces of Learning.","type":"article-journal","volume":"23"},"label":"chapter","uris":["http://www.mendeley.com/documents/?uuid=87bce338-7de1-447c-9bc6-cad05285018a"]}],"mendeley":{"formattedCitation":"(Odo, Pace and Albers, 2017)","plainTextFormattedCitation":"(Odo, Pace and Albers, 2017)","previouslyFormattedCitation":"(Odo, Pace and Albers, 2017)"},"properties":{"noteIndex":0},"schema":"https://github.com/citation-style-language/schema/raw/master/csl-citation.json"}</w:instrText>
      </w:r>
      <w:r w:rsidRPr="008D017E">
        <w:rPr>
          <w:rFonts w:ascii="Times New Roman" w:hAnsi="Times New Roman" w:cs="Times New Roman"/>
          <w:noProof/>
          <w:sz w:val="24"/>
          <w:szCs w:val="24"/>
        </w:rPr>
        <w:fldChar w:fldCharType="separate"/>
      </w:r>
      <w:r w:rsidR="00CB2134" w:rsidRPr="008D017E">
        <w:rPr>
          <w:rFonts w:ascii="Times New Roman" w:hAnsi="Times New Roman" w:cs="Times New Roman"/>
          <w:noProof/>
          <w:sz w:val="24"/>
          <w:szCs w:val="24"/>
        </w:rPr>
        <w:t>(Odo, Pace and Albers, 2017)</w:t>
      </w:r>
      <w:r w:rsidRPr="008D017E">
        <w:rPr>
          <w:rFonts w:ascii="Times New Roman" w:hAnsi="Times New Roman" w:cs="Times New Roman"/>
          <w:noProof/>
          <w:sz w:val="24"/>
          <w:szCs w:val="24"/>
        </w:rPr>
        <w:fldChar w:fldCharType="end"/>
      </w:r>
      <w:r w:rsidR="00CB2134" w:rsidRPr="008D017E">
        <w:rPr>
          <w:rFonts w:ascii="Times New Roman" w:hAnsi="Times New Roman" w:cs="Times New Roman"/>
          <w:noProof/>
          <w:sz w:val="24"/>
          <w:szCs w:val="24"/>
        </w:rPr>
        <w:t xml:space="preserve">. </w:t>
      </w:r>
    </w:p>
    <w:p w:rsidR="0007475B" w:rsidRPr="008D017E" w:rsidRDefault="0007475B" w:rsidP="0007475B">
      <w:pPr>
        <w:spacing w:before="240"/>
        <w:jc w:val="both"/>
        <w:rPr>
          <w:rFonts w:ascii="Times New Roman" w:hAnsi="Times New Roman" w:cs="Times New Roman"/>
          <w:noProof/>
          <w:sz w:val="24"/>
          <w:szCs w:val="24"/>
          <w:lang w:val="id-ID"/>
        </w:rPr>
      </w:pPr>
      <w:r w:rsidRPr="008D017E">
        <w:rPr>
          <w:rFonts w:ascii="Times New Roman" w:hAnsi="Times New Roman" w:cs="Times New Roman"/>
          <w:noProof/>
          <w:sz w:val="24"/>
          <w:szCs w:val="24"/>
          <w:lang w:val="id-ID"/>
        </w:rPr>
        <w:lastRenderedPageBreak/>
        <w:t xml:space="preserve">Antusiasme partisipan menyimak materi yang disampaikan dalam webinar ini cukup baik, dilihat dari pertanyaan-pertanyaan yang diajukan dalam sesi diskusi, dan juga saran masukan yang diterima dalam evaluasi kegiatan. Seluruh partisipan yang mengisi postes menyatakan tertarik untuk mengikuti pelatihan lanjutan. Partisipan juga berharap acara semacam ini dilaksanakan secara rutin dan diikuti dengan sesi praktik. Kesulitan untuk menyesuaikan waktu dengan sesi </w:t>
      </w:r>
      <w:r w:rsidR="008561FB" w:rsidRPr="008D017E">
        <w:rPr>
          <w:rFonts w:ascii="Times New Roman" w:hAnsi="Times New Roman" w:cs="Times New Roman"/>
          <w:noProof/>
          <w:sz w:val="24"/>
          <w:szCs w:val="24"/>
        </w:rPr>
        <w:t xml:space="preserve">pembelajaran </w:t>
      </w:r>
      <w:r w:rsidRPr="008D017E">
        <w:rPr>
          <w:rFonts w:ascii="Times New Roman" w:hAnsi="Times New Roman" w:cs="Times New Roman"/>
          <w:noProof/>
          <w:sz w:val="24"/>
          <w:szCs w:val="24"/>
          <w:lang w:val="id-ID"/>
        </w:rPr>
        <w:t>sinkron menjadi salah satu tantangan dalam mengikuti kegiatan ini. Saran dan masukan partisipan dianalisis secara kualitatif dan dikelompokkan menjadi lima tema utama (tabel 3).</w:t>
      </w:r>
    </w:p>
    <w:p w:rsidR="008561FB" w:rsidRPr="008D017E" w:rsidRDefault="008561FB">
      <w:pPr>
        <w:rPr>
          <w:rFonts w:ascii="Times New Roman" w:hAnsi="Times New Roman" w:cs="Times New Roman"/>
          <w:b/>
          <w:noProof/>
          <w:sz w:val="24"/>
          <w:szCs w:val="24"/>
          <w:lang w:val="id-ID"/>
        </w:rPr>
      </w:pPr>
      <w:r w:rsidRPr="008D017E">
        <w:rPr>
          <w:rFonts w:ascii="Times New Roman" w:hAnsi="Times New Roman" w:cs="Times New Roman"/>
          <w:b/>
          <w:noProof/>
          <w:sz w:val="24"/>
          <w:szCs w:val="24"/>
          <w:lang w:val="id-ID"/>
        </w:rPr>
        <w:br w:type="page"/>
      </w:r>
    </w:p>
    <w:p w:rsidR="008561FB" w:rsidRPr="008D017E" w:rsidRDefault="008561FB" w:rsidP="0007475B">
      <w:pPr>
        <w:spacing w:after="0"/>
        <w:ind w:left="142"/>
        <w:jc w:val="both"/>
        <w:rPr>
          <w:rFonts w:ascii="Times New Roman" w:hAnsi="Times New Roman" w:cs="Times New Roman"/>
          <w:b/>
          <w:noProof/>
          <w:sz w:val="24"/>
          <w:szCs w:val="24"/>
        </w:rPr>
      </w:pPr>
    </w:p>
    <w:p w:rsidR="0007475B" w:rsidRPr="008D017E" w:rsidRDefault="0007475B" w:rsidP="0007475B">
      <w:pPr>
        <w:spacing w:after="0"/>
        <w:ind w:left="142"/>
        <w:jc w:val="both"/>
        <w:rPr>
          <w:rFonts w:ascii="Times New Roman" w:hAnsi="Times New Roman" w:cs="Times New Roman"/>
          <w:b/>
          <w:noProof/>
          <w:sz w:val="24"/>
          <w:szCs w:val="24"/>
          <w:lang w:val="id-ID"/>
        </w:rPr>
      </w:pPr>
      <w:r w:rsidRPr="008D017E">
        <w:rPr>
          <w:rFonts w:ascii="Times New Roman" w:hAnsi="Times New Roman" w:cs="Times New Roman"/>
          <w:b/>
          <w:noProof/>
          <w:sz w:val="24"/>
          <w:szCs w:val="24"/>
          <w:lang w:val="id-ID"/>
        </w:rPr>
        <w:t>Tabel 3. Saran dan masukan partisipan dalam evaluasi kegiatan</w:t>
      </w:r>
    </w:p>
    <w:tbl>
      <w:tblPr>
        <w:tblStyle w:val="TableGrid"/>
        <w:tblW w:w="918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09"/>
        <w:gridCol w:w="6520"/>
      </w:tblGrid>
      <w:tr w:rsidR="0007475B" w:rsidRPr="008D017E" w:rsidTr="00AB0596">
        <w:tc>
          <w:tcPr>
            <w:tcW w:w="1951" w:type="dxa"/>
            <w:tcBorders>
              <w:top w:val="single" w:sz="4" w:space="0" w:color="auto"/>
              <w:bottom w:val="single" w:sz="4" w:space="0" w:color="auto"/>
            </w:tcBorders>
          </w:tcPr>
          <w:p w:rsidR="0007475B" w:rsidRPr="008D017E" w:rsidRDefault="0007475B" w:rsidP="00AB0596">
            <w:pPr>
              <w:jc w:val="center"/>
              <w:rPr>
                <w:rFonts w:ascii="Times New Roman" w:hAnsi="Times New Roman" w:cs="Times New Roman"/>
                <w:b/>
                <w:noProof/>
                <w:sz w:val="24"/>
                <w:szCs w:val="24"/>
              </w:rPr>
            </w:pPr>
            <w:r w:rsidRPr="008D017E">
              <w:rPr>
                <w:rFonts w:ascii="Times New Roman" w:hAnsi="Times New Roman" w:cs="Times New Roman"/>
                <w:b/>
                <w:noProof/>
                <w:sz w:val="24"/>
                <w:szCs w:val="24"/>
              </w:rPr>
              <w:t>Tema</w:t>
            </w:r>
          </w:p>
        </w:tc>
        <w:tc>
          <w:tcPr>
            <w:tcW w:w="709" w:type="dxa"/>
            <w:tcBorders>
              <w:top w:val="single" w:sz="4" w:space="0" w:color="auto"/>
              <w:bottom w:val="single" w:sz="4" w:space="0" w:color="auto"/>
            </w:tcBorders>
          </w:tcPr>
          <w:p w:rsidR="0007475B" w:rsidRPr="008D017E" w:rsidRDefault="0007475B" w:rsidP="00AB0596">
            <w:pPr>
              <w:jc w:val="center"/>
              <w:rPr>
                <w:rFonts w:ascii="Times New Roman" w:hAnsi="Times New Roman" w:cs="Times New Roman"/>
                <w:b/>
                <w:noProof/>
                <w:sz w:val="24"/>
                <w:szCs w:val="24"/>
              </w:rPr>
            </w:pPr>
            <w:r w:rsidRPr="008D017E">
              <w:rPr>
                <w:rFonts w:ascii="Times New Roman" w:hAnsi="Times New Roman" w:cs="Times New Roman"/>
                <w:b/>
                <w:noProof/>
                <w:sz w:val="24"/>
                <w:szCs w:val="24"/>
              </w:rPr>
              <w:t>N</w:t>
            </w:r>
          </w:p>
        </w:tc>
        <w:tc>
          <w:tcPr>
            <w:tcW w:w="6520" w:type="dxa"/>
            <w:tcBorders>
              <w:top w:val="single" w:sz="4" w:space="0" w:color="auto"/>
              <w:bottom w:val="single" w:sz="4" w:space="0" w:color="auto"/>
            </w:tcBorders>
          </w:tcPr>
          <w:p w:rsidR="0007475B" w:rsidRPr="008D017E" w:rsidRDefault="0007475B" w:rsidP="00AB0596">
            <w:pPr>
              <w:jc w:val="center"/>
              <w:rPr>
                <w:rFonts w:ascii="Times New Roman" w:hAnsi="Times New Roman" w:cs="Times New Roman"/>
                <w:b/>
                <w:noProof/>
                <w:sz w:val="24"/>
                <w:szCs w:val="24"/>
              </w:rPr>
            </w:pPr>
            <w:r w:rsidRPr="008D017E">
              <w:rPr>
                <w:rFonts w:ascii="Times New Roman" w:hAnsi="Times New Roman" w:cs="Times New Roman"/>
                <w:b/>
                <w:noProof/>
                <w:sz w:val="24"/>
                <w:szCs w:val="24"/>
              </w:rPr>
              <w:t>Kutipan langsung</w:t>
            </w:r>
          </w:p>
        </w:tc>
      </w:tr>
      <w:tr w:rsidR="0007475B" w:rsidRPr="008D017E" w:rsidTr="00AB0596">
        <w:tc>
          <w:tcPr>
            <w:tcW w:w="1951" w:type="dxa"/>
            <w:tcBorders>
              <w:top w:val="single" w:sz="4" w:space="0" w:color="auto"/>
            </w:tcBorders>
          </w:tcPr>
          <w:p w:rsidR="0007475B" w:rsidRPr="008D017E" w:rsidRDefault="0007475B" w:rsidP="00AB0596">
            <w:pPr>
              <w:rPr>
                <w:rFonts w:ascii="Times New Roman" w:hAnsi="Times New Roman" w:cs="Times New Roman"/>
                <w:noProof/>
                <w:sz w:val="24"/>
                <w:szCs w:val="24"/>
              </w:rPr>
            </w:pPr>
            <w:r w:rsidRPr="008D017E">
              <w:rPr>
                <w:rFonts w:ascii="Times New Roman" w:hAnsi="Times New Roman" w:cs="Times New Roman"/>
                <w:noProof/>
                <w:sz w:val="24"/>
                <w:szCs w:val="24"/>
              </w:rPr>
              <w:t>Kontinuitas kegiatan</w:t>
            </w:r>
          </w:p>
          <w:p w:rsidR="0007475B" w:rsidRPr="008D017E" w:rsidRDefault="0007475B" w:rsidP="00AB0596">
            <w:pPr>
              <w:rPr>
                <w:rFonts w:ascii="Times New Roman" w:hAnsi="Times New Roman" w:cs="Times New Roman"/>
                <w:noProof/>
                <w:sz w:val="24"/>
                <w:szCs w:val="24"/>
              </w:rPr>
            </w:pPr>
          </w:p>
        </w:tc>
        <w:tc>
          <w:tcPr>
            <w:tcW w:w="709" w:type="dxa"/>
            <w:tcBorders>
              <w:top w:val="single" w:sz="4" w:space="0" w:color="auto"/>
            </w:tcBorders>
          </w:tcPr>
          <w:p w:rsidR="0007475B" w:rsidRPr="008D017E" w:rsidRDefault="0007475B" w:rsidP="00AB0596">
            <w:pPr>
              <w:jc w:val="center"/>
              <w:rPr>
                <w:rFonts w:ascii="Times New Roman" w:hAnsi="Times New Roman" w:cs="Times New Roman"/>
                <w:noProof/>
                <w:sz w:val="24"/>
                <w:szCs w:val="24"/>
              </w:rPr>
            </w:pPr>
            <w:r w:rsidRPr="008D017E">
              <w:rPr>
                <w:rFonts w:ascii="Times New Roman" w:hAnsi="Times New Roman" w:cs="Times New Roman"/>
                <w:noProof/>
                <w:sz w:val="24"/>
                <w:szCs w:val="24"/>
              </w:rPr>
              <w:t>15</w:t>
            </w:r>
          </w:p>
        </w:tc>
        <w:tc>
          <w:tcPr>
            <w:tcW w:w="6520" w:type="dxa"/>
            <w:tcBorders>
              <w:top w:val="single" w:sz="4" w:space="0" w:color="auto"/>
            </w:tcBorders>
          </w:tcPr>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“Semoga terus dapat dilaksanakan sehingga dosen klinis bisa mendapatkan pengetahuan baru untuk membimbing lebih baik”</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“perlu diadakan pelatihan lanjutan mengenai usaha pencapaian kompetensi”</w:t>
            </w:r>
          </w:p>
        </w:tc>
      </w:tr>
      <w:tr w:rsidR="0007475B" w:rsidRPr="008D017E" w:rsidTr="00AB0596">
        <w:tc>
          <w:tcPr>
            <w:tcW w:w="1951" w:type="dxa"/>
          </w:tcPr>
          <w:p w:rsidR="0007475B" w:rsidRPr="008D017E" w:rsidRDefault="0007475B" w:rsidP="00AB0596">
            <w:pPr>
              <w:spacing w:before="240"/>
              <w:rPr>
                <w:rFonts w:ascii="Times New Roman" w:hAnsi="Times New Roman" w:cs="Times New Roman"/>
                <w:noProof/>
                <w:sz w:val="24"/>
                <w:szCs w:val="24"/>
              </w:rPr>
            </w:pPr>
            <w:r w:rsidRPr="008D017E">
              <w:rPr>
                <w:rFonts w:ascii="Times New Roman" w:hAnsi="Times New Roman" w:cs="Times New Roman"/>
                <w:noProof/>
                <w:sz w:val="24"/>
                <w:szCs w:val="24"/>
              </w:rPr>
              <w:t>Waktu pelaksanaan</w:t>
            </w:r>
          </w:p>
        </w:tc>
        <w:tc>
          <w:tcPr>
            <w:tcW w:w="709" w:type="dxa"/>
          </w:tcPr>
          <w:p w:rsidR="0007475B" w:rsidRPr="008D017E" w:rsidRDefault="0007475B" w:rsidP="00AB0596">
            <w:pPr>
              <w:spacing w:before="240"/>
              <w:jc w:val="center"/>
              <w:rPr>
                <w:rFonts w:ascii="Times New Roman" w:hAnsi="Times New Roman" w:cs="Times New Roman"/>
                <w:noProof/>
                <w:sz w:val="24"/>
                <w:szCs w:val="24"/>
              </w:rPr>
            </w:pPr>
            <w:r w:rsidRPr="008D017E">
              <w:rPr>
                <w:rFonts w:ascii="Times New Roman" w:hAnsi="Times New Roman" w:cs="Times New Roman"/>
                <w:noProof/>
                <w:sz w:val="24"/>
                <w:szCs w:val="24"/>
              </w:rPr>
              <w:t>5</w:t>
            </w:r>
          </w:p>
        </w:tc>
        <w:tc>
          <w:tcPr>
            <w:tcW w:w="6520" w:type="dxa"/>
          </w:tcPr>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“Berkaitan dengan masalah waktu yakni jam pengadaan webinar tidak bertepatan pada jam" pulang kantor dsb.”</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“bisa dilaksanakan dipagi hari”</w:t>
            </w:r>
          </w:p>
        </w:tc>
      </w:tr>
      <w:tr w:rsidR="0007475B" w:rsidRPr="008D017E" w:rsidTr="00AB0596">
        <w:tc>
          <w:tcPr>
            <w:tcW w:w="1951" w:type="dxa"/>
          </w:tcPr>
          <w:p w:rsidR="0007475B" w:rsidRPr="008D017E" w:rsidRDefault="0007475B" w:rsidP="00AB0596">
            <w:pPr>
              <w:spacing w:before="240"/>
              <w:rPr>
                <w:rFonts w:ascii="Times New Roman" w:hAnsi="Times New Roman" w:cs="Times New Roman"/>
                <w:noProof/>
                <w:sz w:val="24"/>
                <w:szCs w:val="24"/>
              </w:rPr>
            </w:pPr>
            <w:r w:rsidRPr="008D017E">
              <w:rPr>
                <w:rFonts w:ascii="Times New Roman" w:hAnsi="Times New Roman" w:cs="Times New Roman"/>
                <w:noProof/>
                <w:sz w:val="24"/>
                <w:szCs w:val="24"/>
              </w:rPr>
              <w:t>Metode</w:t>
            </w:r>
          </w:p>
        </w:tc>
        <w:tc>
          <w:tcPr>
            <w:tcW w:w="709" w:type="dxa"/>
          </w:tcPr>
          <w:p w:rsidR="0007475B" w:rsidRPr="008D017E" w:rsidRDefault="0007475B" w:rsidP="00AB0596">
            <w:pPr>
              <w:spacing w:before="240"/>
              <w:jc w:val="center"/>
              <w:rPr>
                <w:rFonts w:ascii="Times New Roman" w:hAnsi="Times New Roman" w:cs="Times New Roman"/>
                <w:noProof/>
                <w:sz w:val="24"/>
                <w:szCs w:val="24"/>
              </w:rPr>
            </w:pPr>
            <w:r w:rsidRPr="008D017E">
              <w:rPr>
                <w:rFonts w:ascii="Times New Roman" w:hAnsi="Times New Roman" w:cs="Times New Roman"/>
                <w:noProof/>
                <w:sz w:val="24"/>
                <w:szCs w:val="24"/>
              </w:rPr>
              <w:t>4</w:t>
            </w:r>
          </w:p>
        </w:tc>
        <w:tc>
          <w:tcPr>
            <w:tcW w:w="6520" w:type="dxa"/>
          </w:tcPr>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“Perlu ada sesi penugasan dan praktek”</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“Mungkin kedepannya bisa disertai contoh kasus.”</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“diberikan contoh contoh praktik baik sebagai pendidik klinis ditempat lain”</w:t>
            </w:r>
          </w:p>
        </w:tc>
      </w:tr>
      <w:tr w:rsidR="0007475B" w:rsidRPr="008D017E" w:rsidTr="00AB0596">
        <w:tc>
          <w:tcPr>
            <w:tcW w:w="1951" w:type="dxa"/>
          </w:tcPr>
          <w:p w:rsidR="0007475B" w:rsidRPr="008D017E" w:rsidRDefault="0007475B" w:rsidP="00AB0596">
            <w:pPr>
              <w:rPr>
                <w:rFonts w:ascii="Times New Roman" w:hAnsi="Times New Roman" w:cs="Times New Roman"/>
                <w:noProof/>
                <w:sz w:val="24"/>
                <w:szCs w:val="24"/>
              </w:rPr>
            </w:pPr>
            <w:r w:rsidRPr="008D017E">
              <w:rPr>
                <w:rFonts w:ascii="Times New Roman" w:hAnsi="Times New Roman" w:cs="Times New Roman"/>
                <w:noProof/>
                <w:sz w:val="24"/>
                <w:szCs w:val="24"/>
              </w:rPr>
              <w:t>Usulan topik untuk pelatihan selanjutnya</w:t>
            </w:r>
          </w:p>
        </w:tc>
        <w:tc>
          <w:tcPr>
            <w:tcW w:w="709" w:type="dxa"/>
          </w:tcPr>
          <w:p w:rsidR="0007475B" w:rsidRPr="008D017E" w:rsidRDefault="0007475B" w:rsidP="00AB0596">
            <w:pPr>
              <w:jc w:val="center"/>
              <w:rPr>
                <w:rFonts w:ascii="Times New Roman" w:hAnsi="Times New Roman" w:cs="Times New Roman"/>
                <w:noProof/>
                <w:sz w:val="24"/>
                <w:szCs w:val="24"/>
              </w:rPr>
            </w:pPr>
            <w:r w:rsidRPr="008D017E">
              <w:rPr>
                <w:rFonts w:ascii="Times New Roman" w:hAnsi="Times New Roman" w:cs="Times New Roman"/>
                <w:noProof/>
                <w:sz w:val="24"/>
                <w:szCs w:val="24"/>
              </w:rPr>
              <w:t>4</w:t>
            </w:r>
          </w:p>
        </w:tc>
        <w:tc>
          <w:tcPr>
            <w:tcW w:w="6520" w:type="dxa"/>
          </w:tcPr>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“ditambahkan sesi mengenai formatif assessment”</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“Tentang teknik penilaian pada peserta didik”</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“OSCE”</w:t>
            </w:r>
          </w:p>
        </w:tc>
      </w:tr>
      <w:tr w:rsidR="0007475B" w:rsidRPr="008D017E" w:rsidTr="00AB0596">
        <w:tc>
          <w:tcPr>
            <w:tcW w:w="1951" w:type="dxa"/>
          </w:tcPr>
          <w:p w:rsidR="0007475B" w:rsidRPr="008D017E" w:rsidRDefault="0007475B" w:rsidP="00AB0596">
            <w:pPr>
              <w:rPr>
                <w:rFonts w:ascii="Times New Roman" w:hAnsi="Times New Roman" w:cs="Times New Roman"/>
                <w:noProof/>
                <w:sz w:val="24"/>
                <w:szCs w:val="24"/>
              </w:rPr>
            </w:pPr>
            <w:r w:rsidRPr="008D017E">
              <w:rPr>
                <w:rFonts w:ascii="Times New Roman" w:hAnsi="Times New Roman" w:cs="Times New Roman"/>
                <w:noProof/>
                <w:sz w:val="24"/>
                <w:szCs w:val="24"/>
              </w:rPr>
              <w:t>Akses ke bahan belajar</w:t>
            </w:r>
          </w:p>
        </w:tc>
        <w:tc>
          <w:tcPr>
            <w:tcW w:w="709" w:type="dxa"/>
          </w:tcPr>
          <w:p w:rsidR="0007475B" w:rsidRPr="008D017E" w:rsidRDefault="0007475B" w:rsidP="00AB0596">
            <w:pPr>
              <w:jc w:val="center"/>
              <w:rPr>
                <w:rFonts w:ascii="Times New Roman" w:hAnsi="Times New Roman" w:cs="Times New Roman"/>
                <w:noProof/>
                <w:sz w:val="24"/>
                <w:szCs w:val="24"/>
              </w:rPr>
            </w:pPr>
            <w:r w:rsidRPr="008D017E">
              <w:rPr>
                <w:rFonts w:ascii="Times New Roman" w:hAnsi="Times New Roman" w:cs="Times New Roman"/>
                <w:noProof/>
                <w:sz w:val="24"/>
                <w:szCs w:val="24"/>
              </w:rPr>
              <w:t>4</w:t>
            </w:r>
          </w:p>
        </w:tc>
        <w:tc>
          <w:tcPr>
            <w:tcW w:w="6520" w:type="dxa"/>
          </w:tcPr>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“Diberikan materi penunjang slide nya, misal jurnal, buku.”</w:t>
            </w:r>
          </w:p>
          <w:p w:rsidR="0007475B" w:rsidRPr="008D017E" w:rsidRDefault="0007475B" w:rsidP="00AB0596">
            <w:pPr>
              <w:spacing w:before="240"/>
              <w:rPr>
                <w:rFonts w:ascii="Times New Roman" w:hAnsi="Times New Roman" w:cs="Times New Roman"/>
                <w:i/>
                <w:noProof/>
                <w:sz w:val="24"/>
                <w:szCs w:val="24"/>
              </w:rPr>
            </w:pPr>
            <w:r w:rsidRPr="008D017E">
              <w:rPr>
                <w:rFonts w:ascii="Times New Roman" w:hAnsi="Times New Roman" w:cs="Times New Roman"/>
                <w:i/>
                <w:noProof/>
                <w:sz w:val="24"/>
                <w:szCs w:val="24"/>
              </w:rPr>
              <w:t>“ada link-link untuk video contoh teknis pelaksanaan secara langsung”</w:t>
            </w:r>
          </w:p>
        </w:tc>
      </w:tr>
    </w:tbl>
    <w:p w:rsidR="0007475B" w:rsidRPr="008D017E" w:rsidRDefault="0007475B" w:rsidP="00BA4B3D">
      <w:pPr>
        <w:jc w:val="both"/>
        <w:rPr>
          <w:rFonts w:ascii="Times New Roman" w:hAnsi="Times New Roman" w:cs="Times New Roman"/>
          <w:noProof/>
          <w:sz w:val="24"/>
          <w:szCs w:val="24"/>
        </w:rPr>
      </w:pPr>
    </w:p>
    <w:p w:rsidR="00B86388" w:rsidRPr="008D017E" w:rsidRDefault="00BA4B3D" w:rsidP="008D017E">
      <w:pPr>
        <w:jc w:val="both"/>
        <w:rPr>
          <w:rFonts w:ascii="Times New Roman" w:hAnsi="Times New Roman" w:cs="Times New Roman"/>
          <w:noProof/>
          <w:sz w:val="24"/>
          <w:szCs w:val="24"/>
        </w:rPr>
      </w:pPr>
      <w:r w:rsidRPr="008D017E">
        <w:rPr>
          <w:rFonts w:ascii="Times New Roman" w:hAnsi="Times New Roman" w:cs="Times New Roman"/>
          <w:noProof/>
          <w:sz w:val="24"/>
          <w:szCs w:val="24"/>
          <w:lang w:val="id-ID"/>
        </w:rPr>
        <w:t xml:space="preserve">Masukan yang didapatkan dari partisipan kegiatan ini mengenai kontinuitas kegiatan serupa di masa mendatang didukung oleh literatur. Suatu review sistematik menunjukkan bahwa saat ini </w:t>
      </w:r>
      <w:r w:rsidR="001738FB" w:rsidRPr="008D017E">
        <w:rPr>
          <w:rFonts w:ascii="Times New Roman" w:hAnsi="Times New Roman" w:cs="Times New Roman"/>
          <w:noProof/>
          <w:sz w:val="24"/>
          <w:szCs w:val="24"/>
        </w:rPr>
        <w:t xml:space="preserve">program pengembangan fakultas </w:t>
      </w:r>
      <w:r w:rsidRPr="008D017E">
        <w:rPr>
          <w:rFonts w:ascii="Times New Roman" w:hAnsi="Times New Roman" w:cs="Times New Roman"/>
          <w:noProof/>
          <w:sz w:val="24"/>
          <w:szCs w:val="24"/>
          <w:lang w:val="id-ID"/>
        </w:rPr>
        <w:t>sudah beralih dari sesi pelatihan tunggal menjadi pelatihan serial yang mengindikasikan kesadaran bahwa paparan yang lebih lam</w:t>
      </w:r>
      <w:r w:rsidR="00A338F1" w:rsidRPr="008D017E">
        <w:rPr>
          <w:rFonts w:ascii="Times New Roman" w:hAnsi="Times New Roman" w:cs="Times New Roman"/>
          <w:noProof/>
          <w:sz w:val="24"/>
          <w:szCs w:val="24"/>
          <w:lang w:val="id-ID"/>
        </w:rPr>
        <w:t>a terhadap kegiatan semacam ini</w:t>
      </w:r>
      <w:r w:rsidRPr="008D017E">
        <w:rPr>
          <w:rFonts w:ascii="Times New Roman" w:hAnsi="Times New Roman" w:cs="Times New Roman"/>
          <w:noProof/>
          <w:sz w:val="24"/>
          <w:szCs w:val="24"/>
          <w:lang w:val="id-ID"/>
        </w:rPr>
        <w:t xml:space="preserve"> dibutuhkan untuk membawa perubahan dalam praktik pendidikan </w:t>
      </w:r>
      <w:r w:rsidRPr="008D017E">
        <w:rPr>
          <w:rFonts w:ascii="Times New Roman" w:hAnsi="Times New Roman" w:cs="Times New Roman"/>
          <w:noProof/>
          <w:sz w:val="24"/>
          <w:szCs w:val="24"/>
          <w:lang w:val="id-ID"/>
        </w:rPr>
        <w:fldChar w:fldCharType="begin" w:fldLock="1"/>
      </w:r>
      <w:r w:rsidR="00D85EDF" w:rsidRPr="008D017E">
        <w:rPr>
          <w:rFonts w:ascii="Times New Roman" w:hAnsi="Times New Roman" w:cs="Times New Roman"/>
          <w:noProof/>
          <w:sz w:val="24"/>
          <w:szCs w:val="24"/>
          <w:lang w:val="id-ID"/>
        </w:rPr>
        <w:instrText>ADDIN CSL_CITATION {"citationItems":[{"id":"ITEM-1","itemData":{"DOI":"10.1097/ACM.0b013e318294fd29","ISSN":"1938808X","abstract":"PURPOSE: To (1) provide a detailed account of the nature and scope of faculty development (FD) programs in medical education, (2) assess the quality of FD studies, and (3) identify in what areas and through what means future research can purposefully build on existing knowledge. METHOD: The authors searched MEDLINE, CINAHL, and ERIC for articles reporting evaluations of FD initiatives published between 1989 and 2010. They applied standard systematic review procedures for sifting abstracts, scrutinizing full texts, and abstracting data, including program characteristics, evaluation methods, and outcomes. They used a modified Kirkpatrick model to guide their data abstraction. RESULTS: The authors included 22 articles reporting on 21 studies in their review. The most common program characteristics included a series/longitudinal format, intended for individuals, and offered to physicians only. Although the most common aim was to improve teaching effectiveness, several programs had multiple aims, including scholarship and leadership. Program evaluation focused on quantitative approaches. A number of studies employed longitudinal designs and included some follow-up component. Surveys were the most popular data collection method, participants the most common data source, and self-reported behavior changes the most commonly reported outcome. CONCLUSIONS: Although the authors' findings showed some recent expansion in the scope of the FD literature, they also highlighted areas that require further focus and growth. Future research should employ more rigorous evaluation methods, explore the role of interprofessional teams and communities of practice in the workplace, and address how different organizational and contextual factors shape the success of FD programs.","author":[{"dropping-particle":"","family":"Leslie","given":"Karen","non-dropping-particle":"","parse-names":false,"suffix":""},{"dropping-particle":"","family":"Baker","given":"Lindsay","non-dropping-particle":"","parse-names":false,"suffix":""},{"dropping-particle":"","family":"Egan-Lee","given":"Eileen","non-dropping-particle":"","parse-names":false,"suffix":""},{"dropping-particle":"","family":"Esdaile","given":"Martina","non-dropping-particle":"","parse-names":false,"suffix":""},{"dropping-particle":"","family":"Reeves","given":"Scott","non-dropping-particle":"","parse-names":false,"suffix":""}],"container-title":"Academic Medicine","id":"ITEM-1","issue":"7","issued":{"date-parts":[["2013"]]},"page":"1038-1045","title":"Advancing faculty development in medical education: A systematic review","type":"article-journal","volume":"88"},"uris":["http://www.mendeley.com/documents/?uuid=95c2be10-5531-4e3b-87e8-b7f9ca7a0b7a"]}],"mendeley":{"formattedCitation":"(Leslie &lt;i&gt;et al.&lt;/i&gt;, 2013)","plainTextFormattedCitation":"(Leslie et al., 2013)","previouslyFormattedCitation":"(Leslie &lt;i&gt;et al.&lt;/i&gt;, 2013)"},"properties":{"noteIndex":0},"schema":"https://github.com/citation-style-language/schema/raw/master/csl-citation.json"}</w:instrText>
      </w:r>
      <w:r w:rsidRPr="008D017E">
        <w:rPr>
          <w:rFonts w:ascii="Times New Roman" w:hAnsi="Times New Roman" w:cs="Times New Roman"/>
          <w:noProof/>
          <w:sz w:val="24"/>
          <w:szCs w:val="24"/>
          <w:lang w:val="id-ID"/>
        </w:rPr>
        <w:fldChar w:fldCharType="separate"/>
      </w:r>
      <w:r w:rsidR="00140C7F" w:rsidRPr="008D017E">
        <w:rPr>
          <w:rFonts w:ascii="Times New Roman" w:hAnsi="Times New Roman" w:cs="Times New Roman"/>
          <w:noProof/>
          <w:sz w:val="24"/>
          <w:szCs w:val="24"/>
          <w:lang w:val="id-ID"/>
        </w:rPr>
        <w:t xml:space="preserve">(Leslie </w:t>
      </w:r>
      <w:r w:rsidR="00140C7F" w:rsidRPr="008D017E">
        <w:rPr>
          <w:rFonts w:ascii="Times New Roman" w:hAnsi="Times New Roman" w:cs="Times New Roman"/>
          <w:i/>
          <w:noProof/>
          <w:sz w:val="24"/>
          <w:szCs w:val="24"/>
          <w:lang w:val="id-ID"/>
        </w:rPr>
        <w:t>et al.</w:t>
      </w:r>
      <w:r w:rsidR="00140C7F" w:rsidRPr="008D017E">
        <w:rPr>
          <w:rFonts w:ascii="Times New Roman" w:hAnsi="Times New Roman" w:cs="Times New Roman"/>
          <w:noProof/>
          <w:sz w:val="24"/>
          <w:szCs w:val="24"/>
          <w:lang w:val="id-ID"/>
        </w:rPr>
        <w:t>, 2013)</w:t>
      </w:r>
      <w:r w:rsidRPr="008D017E">
        <w:rPr>
          <w:rFonts w:ascii="Times New Roman" w:hAnsi="Times New Roman" w:cs="Times New Roman"/>
          <w:noProof/>
          <w:sz w:val="24"/>
          <w:szCs w:val="24"/>
          <w:lang w:val="id-ID"/>
        </w:rPr>
        <w:fldChar w:fldCharType="end"/>
      </w:r>
      <w:r w:rsidRPr="008D017E">
        <w:rPr>
          <w:rFonts w:ascii="Times New Roman" w:hAnsi="Times New Roman" w:cs="Times New Roman"/>
          <w:noProof/>
          <w:sz w:val="24"/>
          <w:szCs w:val="24"/>
          <w:lang w:val="id-ID"/>
        </w:rPr>
        <w:t xml:space="preserve">. Masukan dan saran yang diberikan juga menggambarkan tantangan profesi dokter dan tenaga kesehatan menyesuaikan waktu untuk kegiatan pengembangan profesi. </w:t>
      </w:r>
    </w:p>
    <w:p w:rsidR="00B86388" w:rsidRDefault="00CC25AD" w:rsidP="008D017E">
      <w:pPr>
        <w:pStyle w:val="Heading1"/>
        <w:jc w:val="center"/>
        <w:rPr>
          <w:rFonts w:ascii="Times New Roman" w:eastAsia="Calibri" w:hAnsi="Times New Roman" w:cs="Times New Roman"/>
          <w:noProof/>
          <w:color w:val="000000" w:themeColor="text1"/>
          <w:w w:val="99"/>
          <w:sz w:val="24"/>
          <w:szCs w:val="24"/>
        </w:rPr>
      </w:pPr>
      <w:r w:rsidRPr="008D017E">
        <w:rPr>
          <w:rFonts w:ascii="Times New Roman" w:eastAsia="Calibri" w:hAnsi="Times New Roman" w:cs="Times New Roman"/>
          <w:noProof/>
          <w:color w:val="000000" w:themeColor="text1"/>
          <w:spacing w:val="-1"/>
          <w:sz w:val="24"/>
          <w:szCs w:val="24"/>
          <w:lang w:val="id-ID"/>
        </w:rPr>
        <w:t>K</w:t>
      </w:r>
      <w:r w:rsidRPr="008D017E">
        <w:rPr>
          <w:rFonts w:ascii="Times New Roman" w:eastAsia="Calibri" w:hAnsi="Times New Roman" w:cs="Times New Roman"/>
          <w:noProof/>
          <w:color w:val="000000" w:themeColor="text1"/>
          <w:sz w:val="24"/>
          <w:szCs w:val="24"/>
          <w:lang w:val="id-ID"/>
        </w:rPr>
        <w:t>E</w:t>
      </w:r>
      <w:r w:rsidRPr="008D017E">
        <w:rPr>
          <w:rFonts w:ascii="Times New Roman" w:eastAsia="Calibri" w:hAnsi="Times New Roman" w:cs="Times New Roman"/>
          <w:noProof/>
          <w:color w:val="000000" w:themeColor="text1"/>
          <w:spacing w:val="-1"/>
          <w:sz w:val="24"/>
          <w:szCs w:val="24"/>
          <w:lang w:val="id-ID"/>
        </w:rPr>
        <w:t>S</w:t>
      </w:r>
      <w:r w:rsidRPr="008D017E">
        <w:rPr>
          <w:rFonts w:ascii="Times New Roman" w:eastAsia="Calibri" w:hAnsi="Times New Roman" w:cs="Times New Roman"/>
          <w:noProof/>
          <w:color w:val="000000" w:themeColor="text1"/>
          <w:spacing w:val="1"/>
          <w:sz w:val="24"/>
          <w:szCs w:val="24"/>
          <w:lang w:val="id-ID"/>
        </w:rPr>
        <w:t>I</w:t>
      </w:r>
      <w:r w:rsidRPr="008D017E">
        <w:rPr>
          <w:rFonts w:ascii="Times New Roman" w:eastAsia="Calibri" w:hAnsi="Times New Roman" w:cs="Times New Roman"/>
          <w:noProof/>
          <w:color w:val="000000" w:themeColor="text1"/>
          <w:sz w:val="24"/>
          <w:szCs w:val="24"/>
          <w:lang w:val="id-ID"/>
        </w:rPr>
        <w:t>M</w:t>
      </w:r>
      <w:r w:rsidRPr="008D017E">
        <w:rPr>
          <w:rFonts w:ascii="Times New Roman" w:eastAsia="Calibri" w:hAnsi="Times New Roman" w:cs="Times New Roman"/>
          <w:noProof/>
          <w:color w:val="000000" w:themeColor="text1"/>
          <w:spacing w:val="-2"/>
          <w:sz w:val="24"/>
          <w:szCs w:val="24"/>
          <w:lang w:val="id-ID"/>
        </w:rPr>
        <w:t>P</w:t>
      </w:r>
      <w:r w:rsidRPr="008D017E">
        <w:rPr>
          <w:rFonts w:ascii="Times New Roman" w:eastAsia="Calibri" w:hAnsi="Times New Roman" w:cs="Times New Roman"/>
          <w:noProof/>
          <w:color w:val="000000" w:themeColor="text1"/>
          <w:spacing w:val="1"/>
          <w:sz w:val="24"/>
          <w:szCs w:val="24"/>
          <w:lang w:val="id-ID"/>
        </w:rPr>
        <w:t>UL</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N</w:t>
      </w:r>
      <w:r w:rsidRPr="008D017E">
        <w:rPr>
          <w:rFonts w:ascii="Times New Roman" w:eastAsia="Calibri" w:hAnsi="Times New Roman" w:cs="Times New Roman"/>
          <w:noProof/>
          <w:color w:val="000000" w:themeColor="text1"/>
          <w:spacing w:val="-10"/>
          <w:sz w:val="24"/>
          <w:szCs w:val="24"/>
          <w:lang w:val="id-ID"/>
        </w:rPr>
        <w:t xml:space="preserve"> </w:t>
      </w:r>
      <w:r w:rsidRPr="008D017E">
        <w:rPr>
          <w:rFonts w:ascii="Times New Roman" w:eastAsia="Calibri" w:hAnsi="Times New Roman" w:cs="Times New Roman"/>
          <w:noProof/>
          <w:color w:val="000000" w:themeColor="text1"/>
          <w:sz w:val="24"/>
          <w:szCs w:val="24"/>
          <w:lang w:val="id-ID"/>
        </w:rPr>
        <w:t>D</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N</w:t>
      </w:r>
      <w:r w:rsidRPr="008D017E">
        <w:rPr>
          <w:rFonts w:ascii="Times New Roman" w:eastAsia="Calibri" w:hAnsi="Times New Roman" w:cs="Times New Roman"/>
          <w:noProof/>
          <w:color w:val="000000" w:themeColor="text1"/>
          <w:spacing w:val="-2"/>
          <w:sz w:val="24"/>
          <w:szCs w:val="24"/>
          <w:lang w:val="id-ID"/>
        </w:rPr>
        <w:t xml:space="preserve"> </w:t>
      </w:r>
      <w:r w:rsidRPr="008D017E">
        <w:rPr>
          <w:rFonts w:ascii="Times New Roman" w:eastAsia="Calibri" w:hAnsi="Times New Roman" w:cs="Times New Roman"/>
          <w:noProof/>
          <w:color w:val="000000" w:themeColor="text1"/>
          <w:w w:val="99"/>
          <w:sz w:val="24"/>
          <w:szCs w:val="24"/>
          <w:lang w:val="id-ID"/>
        </w:rPr>
        <w:t>S</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spacing w:val="-2"/>
          <w:w w:val="99"/>
          <w:sz w:val="24"/>
          <w:szCs w:val="24"/>
          <w:lang w:val="id-ID"/>
        </w:rPr>
        <w:t>RA</w:t>
      </w:r>
      <w:r w:rsidRPr="008D017E">
        <w:rPr>
          <w:rFonts w:ascii="Times New Roman" w:eastAsia="Calibri" w:hAnsi="Times New Roman" w:cs="Times New Roman"/>
          <w:noProof/>
          <w:color w:val="000000" w:themeColor="text1"/>
          <w:w w:val="99"/>
          <w:sz w:val="24"/>
          <w:szCs w:val="24"/>
          <w:lang w:val="id-ID"/>
        </w:rPr>
        <w:t>N</w:t>
      </w:r>
    </w:p>
    <w:p w:rsidR="00B86388" w:rsidRPr="008D017E" w:rsidRDefault="003E3A59" w:rsidP="008D017E">
      <w:pPr>
        <w:spacing w:before="240" w:after="0"/>
        <w:ind w:right="119"/>
        <w:jc w:val="both"/>
        <w:rPr>
          <w:rFonts w:ascii="Times New Roman" w:eastAsia="Calibri" w:hAnsi="Times New Roman" w:cs="Times New Roman"/>
          <w:noProof/>
          <w:spacing w:val="1"/>
          <w:sz w:val="24"/>
          <w:szCs w:val="24"/>
        </w:rPr>
      </w:pPr>
      <w:r w:rsidRPr="008D017E">
        <w:rPr>
          <w:rFonts w:ascii="Times New Roman" w:eastAsia="Calibri" w:hAnsi="Times New Roman" w:cs="Times New Roman"/>
          <w:noProof/>
          <w:spacing w:val="1"/>
          <w:sz w:val="24"/>
          <w:szCs w:val="24"/>
        </w:rPr>
        <w:t xml:space="preserve">Pelatihan empat keterampilan dasar pendidik klinis yang dilaksanakan melalui webinar ini telah meningkatkan pengetahuan peserta secara signifikan dibandingkan dengan sebelum mengikuti kegiatan. </w:t>
      </w:r>
      <w:r w:rsidR="00D04D2D" w:rsidRPr="008D017E">
        <w:rPr>
          <w:rFonts w:ascii="Times New Roman" w:eastAsia="Calibri" w:hAnsi="Times New Roman" w:cs="Times New Roman"/>
          <w:noProof/>
          <w:spacing w:val="1"/>
          <w:sz w:val="24"/>
          <w:szCs w:val="24"/>
        </w:rPr>
        <w:t xml:space="preserve">Pelaksanaan kegiatan pelatihan melalui webinar memiliki beberapa </w:t>
      </w:r>
      <w:r w:rsidR="00D04D2D" w:rsidRPr="008D017E">
        <w:rPr>
          <w:rFonts w:ascii="Times New Roman" w:eastAsia="Calibri" w:hAnsi="Times New Roman" w:cs="Times New Roman"/>
          <w:noProof/>
          <w:spacing w:val="1"/>
          <w:sz w:val="24"/>
          <w:szCs w:val="24"/>
        </w:rPr>
        <w:lastRenderedPageBreak/>
        <w:t xml:space="preserve">kelebihan dan kekurangan. Kelebihannya adalah mudah diakses dan diikuti oleh peserta yang tidak dapat berada di lokasi yang sama, meminimalkan disrupsi terhadap pelayanan, serta dapat </w:t>
      </w:r>
      <w:r w:rsidR="00CB3EC0" w:rsidRPr="008D017E">
        <w:rPr>
          <w:rFonts w:ascii="Times New Roman" w:eastAsia="Calibri" w:hAnsi="Times New Roman" w:cs="Times New Roman"/>
          <w:noProof/>
          <w:spacing w:val="1"/>
          <w:sz w:val="24"/>
          <w:szCs w:val="24"/>
        </w:rPr>
        <w:t>menjangkau</w:t>
      </w:r>
      <w:r w:rsidR="00D04D2D" w:rsidRPr="008D017E">
        <w:rPr>
          <w:rFonts w:ascii="Times New Roman" w:eastAsia="Calibri" w:hAnsi="Times New Roman" w:cs="Times New Roman"/>
          <w:noProof/>
          <w:spacing w:val="1"/>
          <w:sz w:val="24"/>
          <w:szCs w:val="24"/>
        </w:rPr>
        <w:t xml:space="preserve"> audiens yang lebih luas, tidak hanya yang berada di Mataram. </w:t>
      </w:r>
      <w:r w:rsidR="00CB3EC0" w:rsidRPr="008D017E">
        <w:rPr>
          <w:rFonts w:ascii="Times New Roman" w:eastAsia="Calibri" w:hAnsi="Times New Roman" w:cs="Times New Roman"/>
          <w:noProof/>
          <w:spacing w:val="1"/>
          <w:sz w:val="24"/>
          <w:szCs w:val="24"/>
        </w:rPr>
        <w:t>Akan tetapi,</w:t>
      </w:r>
      <w:r w:rsidR="00D04D2D" w:rsidRPr="008D017E">
        <w:rPr>
          <w:rFonts w:ascii="Times New Roman" w:eastAsia="Calibri" w:hAnsi="Times New Roman" w:cs="Times New Roman"/>
          <w:noProof/>
          <w:spacing w:val="1"/>
          <w:sz w:val="24"/>
          <w:szCs w:val="24"/>
        </w:rPr>
        <w:t xml:space="preserve"> penyelenggaraan melalui webinar membatasi kesempatan untuk mempraktikkan keterampilan dan mendapatkan umpan balik secara langsung</w:t>
      </w:r>
      <w:r w:rsidR="005861BC" w:rsidRPr="008D017E">
        <w:rPr>
          <w:rFonts w:ascii="Times New Roman" w:eastAsia="Calibri" w:hAnsi="Times New Roman" w:cs="Times New Roman"/>
          <w:noProof/>
          <w:spacing w:val="1"/>
          <w:sz w:val="24"/>
          <w:szCs w:val="24"/>
        </w:rPr>
        <w:t>. Selain itu,</w:t>
      </w:r>
      <w:r w:rsidR="00D04D2D" w:rsidRPr="008D017E">
        <w:rPr>
          <w:rFonts w:ascii="Times New Roman" w:eastAsia="Calibri" w:hAnsi="Times New Roman" w:cs="Times New Roman"/>
          <w:noProof/>
          <w:spacing w:val="1"/>
          <w:sz w:val="24"/>
          <w:szCs w:val="24"/>
        </w:rPr>
        <w:t xml:space="preserve"> sosialisasi </w:t>
      </w:r>
      <w:r w:rsidR="00CB3EC0" w:rsidRPr="008D017E">
        <w:rPr>
          <w:rFonts w:ascii="Times New Roman" w:eastAsia="Calibri" w:hAnsi="Times New Roman" w:cs="Times New Roman"/>
          <w:noProof/>
          <w:spacing w:val="1"/>
          <w:sz w:val="24"/>
          <w:szCs w:val="24"/>
        </w:rPr>
        <w:t>antar partisipan terbatas hanya</w:t>
      </w:r>
      <w:r w:rsidR="00D04D2D" w:rsidRPr="008D017E">
        <w:rPr>
          <w:rFonts w:ascii="Times New Roman" w:eastAsia="Calibri" w:hAnsi="Times New Roman" w:cs="Times New Roman"/>
          <w:noProof/>
          <w:spacing w:val="1"/>
          <w:sz w:val="24"/>
          <w:szCs w:val="24"/>
        </w:rPr>
        <w:t xml:space="preserve"> melalui pesan teks. </w:t>
      </w:r>
      <w:r w:rsidR="00CB3EC0" w:rsidRPr="008D017E">
        <w:rPr>
          <w:rFonts w:ascii="Times New Roman" w:eastAsia="Calibri" w:hAnsi="Times New Roman" w:cs="Times New Roman"/>
          <w:noProof/>
          <w:spacing w:val="1"/>
          <w:sz w:val="24"/>
          <w:szCs w:val="24"/>
        </w:rPr>
        <w:t xml:space="preserve">Pelatihan selanjutnya perlu mempertimbangkan kontinuitas kegiatan dan akses partisipan ke bahan belajar. </w:t>
      </w:r>
      <w:r w:rsidR="00D04D2D" w:rsidRPr="008D017E">
        <w:rPr>
          <w:rFonts w:ascii="Times New Roman" w:hAnsi="Times New Roman" w:cs="Times New Roman"/>
          <w:noProof/>
          <w:sz w:val="24"/>
          <w:szCs w:val="24"/>
          <w:lang w:val="id-ID"/>
        </w:rPr>
        <w:t xml:space="preserve">Kombinasi kegiatan </w:t>
      </w:r>
      <w:r w:rsidR="00CB3EC0" w:rsidRPr="008D017E">
        <w:rPr>
          <w:rFonts w:ascii="Times New Roman" w:hAnsi="Times New Roman" w:cs="Times New Roman"/>
          <w:noProof/>
          <w:sz w:val="24"/>
          <w:szCs w:val="24"/>
        </w:rPr>
        <w:t xml:space="preserve">pembelajaran </w:t>
      </w:r>
      <w:r w:rsidR="00D04D2D" w:rsidRPr="008D017E">
        <w:rPr>
          <w:rFonts w:ascii="Times New Roman" w:hAnsi="Times New Roman" w:cs="Times New Roman"/>
          <w:noProof/>
          <w:sz w:val="24"/>
          <w:szCs w:val="24"/>
          <w:lang w:val="id-ID"/>
        </w:rPr>
        <w:t xml:space="preserve">sinkron </w:t>
      </w:r>
      <w:r w:rsidR="00CB3EC0" w:rsidRPr="008D017E">
        <w:rPr>
          <w:rFonts w:ascii="Times New Roman" w:hAnsi="Times New Roman" w:cs="Times New Roman"/>
          <w:noProof/>
          <w:sz w:val="24"/>
          <w:szCs w:val="24"/>
        </w:rPr>
        <w:t>dan</w:t>
      </w:r>
      <w:r w:rsidR="00D04D2D" w:rsidRPr="008D017E">
        <w:rPr>
          <w:rFonts w:ascii="Times New Roman" w:hAnsi="Times New Roman" w:cs="Times New Roman"/>
          <w:noProof/>
          <w:sz w:val="24"/>
          <w:szCs w:val="24"/>
          <w:lang w:val="id-ID"/>
        </w:rPr>
        <w:t xml:space="preserve"> asinkron dapat menjadi solusi bagi </w:t>
      </w:r>
      <w:r w:rsidR="00CB3EC0" w:rsidRPr="008D017E">
        <w:rPr>
          <w:rFonts w:ascii="Times New Roman" w:hAnsi="Times New Roman" w:cs="Times New Roman"/>
          <w:noProof/>
          <w:sz w:val="24"/>
          <w:szCs w:val="24"/>
        </w:rPr>
        <w:t xml:space="preserve">partisipan yang menghadapi kesulitan mengikuti kegiatan di jam-jam tertentu. Pemberian umpan balik dalam sesi praktik secara langsung dapat digantikan dengan review bersama </w:t>
      </w:r>
      <w:r w:rsidR="005861BC" w:rsidRPr="008D017E">
        <w:rPr>
          <w:rFonts w:ascii="Times New Roman" w:hAnsi="Times New Roman" w:cs="Times New Roman"/>
          <w:noProof/>
          <w:sz w:val="24"/>
          <w:szCs w:val="24"/>
        </w:rPr>
        <w:t xml:space="preserve">dan pemberian umpan balik terhadap </w:t>
      </w:r>
      <w:r w:rsidR="00CB3EC0" w:rsidRPr="008D017E">
        <w:rPr>
          <w:rFonts w:ascii="Times New Roman" w:hAnsi="Times New Roman" w:cs="Times New Roman"/>
          <w:noProof/>
          <w:sz w:val="24"/>
          <w:szCs w:val="24"/>
        </w:rPr>
        <w:t xml:space="preserve">rekaman praktik mengajar di situasi pembelajaran klinis yang </w:t>
      </w:r>
      <w:r w:rsidR="005861BC" w:rsidRPr="008D017E">
        <w:rPr>
          <w:rFonts w:ascii="Times New Roman" w:hAnsi="Times New Roman" w:cs="Times New Roman"/>
          <w:noProof/>
          <w:sz w:val="24"/>
          <w:szCs w:val="24"/>
        </w:rPr>
        <w:t>dibuat dan diserahkan</w:t>
      </w:r>
      <w:r w:rsidR="00CB3EC0" w:rsidRPr="008D017E">
        <w:rPr>
          <w:rFonts w:ascii="Times New Roman" w:hAnsi="Times New Roman" w:cs="Times New Roman"/>
          <w:noProof/>
          <w:sz w:val="24"/>
          <w:szCs w:val="24"/>
        </w:rPr>
        <w:t xml:space="preserve"> partisipan kepada panitia kegiatan sebelum acara. </w:t>
      </w:r>
    </w:p>
    <w:p w:rsidR="00B86388" w:rsidRPr="008D017E" w:rsidRDefault="00CC25AD" w:rsidP="008D017E">
      <w:pPr>
        <w:pStyle w:val="Heading1"/>
        <w:jc w:val="center"/>
        <w:rPr>
          <w:rFonts w:ascii="Times New Roman" w:eastAsia="Calibri" w:hAnsi="Times New Roman" w:cs="Times New Roman"/>
          <w:noProof/>
          <w:color w:val="000000" w:themeColor="text1"/>
          <w:sz w:val="24"/>
          <w:szCs w:val="24"/>
          <w:lang w:val="id-ID"/>
        </w:rPr>
      </w:pPr>
      <w:r w:rsidRPr="008D017E">
        <w:rPr>
          <w:rFonts w:ascii="Times New Roman" w:eastAsia="Calibri" w:hAnsi="Times New Roman" w:cs="Times New Roman"/>
          <w:noProof/>
          <w:color w:val="000000" w:themeColor="text1"/>
          <w:spacing w:val="1"/>
          <w:sz w:val="24"/>
          <w:szCs w:val="24"/>
          <w:lang w:val="id-ID"/>
        </w:rPr>
        <w:t>U</w:t>
      </w:r>
      <w:r w:rsidRPr="008D017E">
        <w:rPr>
          <w:rFonts w:ascii="Times New Roman" w:eastAsia="Calibri" w:hAnsi="Times New Roman" w:cs="Times New Roman"/>
          <w:noProof/>
          <w:color w:val="000000" w:themeColor="text1"/>
          <w:sz w:val="24"/>
          <w:szCs w:val="24"/>
          <w:lang w:val="id-ID"/>
        </w:rPr>
        <w:t>C</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pacing w:val="-1"/>
          <w:sz w:val="24"/>
          <w:szCs w:val="24"/>
          <w:lang w:val="id-ID"/>
        </w:rPr>
        <w:t>P</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N</w:t>
      </w:r>
      <w:r w:rsidRPr="008D017E">
        <w:rPr>
          <w:rFonts w:ascii="Times New Roman" w:eastAsia="Calibri" w:hAnsi="Times New Roman" w:cs="Times New Roman"/>
          <w:noProof/>
          <w:color w:val="000000" w:themeColor="text1"/>
          <w:spacing w:val="-5"/>
          <w:sz w:val="24"/>
          <w:szCs w:val="24"/>
          <w:lang w:val="id-ID"/>
        </w:rPr>
        <w:t xml:space="preserve"> </w:t>
      </w:r>
      <w:r w:rsidRPr="008D017E">
        <w:rPr>
          <w:rFonts w:ascii="Times New Roman" w:eastAsia="Calibri" w:hAnsi="Times New Roman" w:cs="Times New Roman"/>
          <w:noProof/>
          <w:color w:val="000000" w:themeColor="text1"/>
          <w:spacing w:val="1"/>
          <w:sz w:val="24"/>
          <w:szCs w:val="24"/>
          <w:lang w:val="id-ID"/>
        </w:rPr>
        <w:t>T</w:t>
      </w:r>
      <w:r w:rsidRPr="008D017E">
        <w:rPr>
          <w:rFonts w:ascii="Times New Roman" w:eastAsia="Calibri" w:hAnsi="Times New Roman" w:cs="Times New Roman"/>
          <w:noProof/>
          <w:color w:val="000000" w:themeColor="text1"/>
          <w:sz w:val="24"/>
          <w:szCs w:val="24"/>
          <w:lang w:val="id-ID"/>
        </w:rPr>
        <w:t>E</w:t>
      </w:r>
      <w:r w:rsidRPr="008D017E">
        <w:rPr>
          <w:rFonts w:ascii="Times New Roman" w:eastAsia="Calibri" w:hAnsi="Times New Roman" w:cs="Times New Roman"/>
          <w:noProof/>
          <w:color w:val="000000" w:themeColor="text1"/>
          <w:spacing w:val="-2"/>
          <w:sz w:val="24"/>
          <w:szCs w:val="24"/>
          <w:lang w:val="id-ID"/>
        </w:rPr>
        <w:t>R</w:t>
      </w:r>
      <w:r w:rsidRPr="008D017E">
        <w:rPr>
          <w:rFonts w:ascii="Times New Roman" w:eastAsia="Calibri" w:hAnsi="Times New Roman" w:cs="Times New Roman"/>
          <w:noProof/>
          <w:color w:val="000000" w:themeColor="text1"/>
          <w:spacing w:val="1"/>
          <w:sz w:val="24"/>
          <w:szCs w:val="24"/>
          <w:lang w:val="id-ID"/>
        </w:rPr>
        <w:t>I</w:t>
      </w:r>
      <w:r w:rsidRPr="008D017E">
        <w:rPr>
          <w:rFonts w:ascii="Times New Roman" w:eastAsia="Calibri" w:hAnsi="Times New Roman" w:cs="Times New Roman"/>
          <w:noProof/>
          <w:color w:val="000000" w:themeColor="text1"/>
          <w:sz w:val="24"/>
          <w:szCs w:val="24"/>
          <w:lang w:val="id-ID"/>
        </w:rPr>
        <w:t>MA</w:t>
      </w:r>
      <w:r w:rsidRPr="008D017E">
        <w:rPr>
          <w:rFonts w:ascii="Times New Roman" w:eastAsia="Calibri" w:hAnsi="Times New Roman" w:cs="Times New Roman"/>
          <w:noProof/>
          <w:color w:val="000000" w:themeColor="text1"/>
          <w:spacing w:val="-11"/>
          <w:sz w:val="24"/>
          <w:szCs w:val="24"/>
          <w:lang w:val="id-ID"/>
        </w:rPr>
        <w:t xml:space="preserve"> </w:t>
      </w:r>
      <w:r w:rsidRPr="008D017E">
        <w:rPr>
          <w:rFonts w:ascii="Times New Roman" w:eastAsia="Calibri" w:hAnsi="Times New Roman" w:cs="Times New Roman"/>
          <w:noProof/>
          <w:color w:val="000000" w:themeColor="text1"/>
          <w:spacing w:val="3"/>
          <w:w w:val="99"/>
          <w:sz w:val="24"/>
          <w:szCs w:val="24"/>
          <w:lang w:val="id-ID"/>
        </w:rPr>
        <w:t>K</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w w:val="99"/>
          <w:sz w:val="24"/>
          <w:szCs w:val="24"/>
          <w:lang w:val="id-ID"/>
        </w:rPr>
        <w:t>SIH</w:t>
      </w:r>
    </w:p>
    <w:p w:rsidR="00B86388" w:rsidRPr="008D017E" w:rsidRDefault="00B86388">
      <w:pPr>
        <w:spacing w:before="6" w:after="0" w:line="170" w:lineRule="exact"/>
        <w:rPr>
          <w:rFonts w:ascii="Times New Roman" w:hAnsi="Times New Roman" w:cs="Times New Roman"/>
          <w:noProof/>
          <w:sz w:val="24"/>
          <w:szCs w:val="24"/>
          <w:lang w:val="id-ID"/>
        </w:rPr>
      </w:pPr>
    </w:p>
    <w:p w:rsidR="00B86388" w:rsidRPr="008D017E" w:rsidRDefault="005861BC" w:rsidP="008D017E">
      <w:pPr>
        <w:spacing w:after="0"/>
        <w:ind w:left="160" w:right="125"/>
        <w:jc w:val="both"/>
        <w:rPr>
          <w:rFonts w:ascii="Times New Roman" w:eastAsia="Calibri" w:hAnsi="Times New Roman" w:cs="Times New Roman"/>
          <w:noProof/>
          <w:sz w:val="24"/>
          <w:szCs w:val="24"/>
        </w:rPr>
      </w:pPr>
      <w:r w:rsidRPr="008D017E">
        <w:rPr>
          <w:rFonts w:ascii="Times New Roman" w:eastAsia="Calibri" w:hAnsi="Times New Roman" w:cs="Times New Roman"/>
          <w:noProof/>
          <w:spacing w:val="-1"/>
          <w:sz w:val="24"/>
          <w:szCs w:val="24"/>
        </w:rPr>
        <w:t xml:space="preserve">Kegiatan pengabdian ini dibiayai oleh dana PNBP Universitas Mataram tahun anggaran 2020. Tim pengabdian mengucapkan terima kasih kepada Direktur dan Manajemen Rumah Sakit Universitas Mataram atas dukungan dan kerjasamanya. </w:t>
      </w:r>
    </w:p>
    <w:p w:rsidR="00B86388" w:rsidRPr="008D017E" w:rsidRDefault="00CC25AD" w:rsidP="008D017E">
      <w:pPr>
        <w:pStyle w:val="Heading1"/>
        <w:jc w:val="center"/>
        <w:rPr>
          <w:rFonts w:ascii="Times New Roman" w:eastAsia="Calibri" w:hAnsi="Times New Roman" w:cs="Times New Roman"/>
          <w:noProof/>
          <w:color w:val="000000" w:themeColor="text1"/>
          <w:sz w:val="24"/>
          <w:szCs w:val="24"/>
          <w:lang w:val="id-ID"/>
        </w:rPr>
      </w:pPr>
      <w:r w:rsidRPr="008D017E">
        <w:rPr>
          <w:rFonts w:ascii="Times New Roman" w:eastAsia="Calibri" w:hAnsi="Times New Roman" w:cs="Times New Roman"/>
          <w:noProof/>
          <w:color w:val="000000" w:themeColor="text1"/>
          <w:sz w:val="24"/>
          <w:szCs w:val="24"/>
          <w:lang w:val="id-ID"/>
        </w:rPr>
        <w:t>D</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F</w:t>
      </w:r>
      <w:r w:rsidRPr="008D017E">
        <w:rPr>
          <w:rFonts w:ascii="Times New Roman" w:eastAsia="Calibri" w:hAnsi="Times New Roman" w:cs="Times New Roman"/>
          <w:noProof/>
          <w:color w:val="000000" w:themeColor="text1"/>
          <w:spacing w:val="1"/>
          <w:sz w:val="24"/>
          <w:szCs w:val="24"/>
          <w:lang w:val="id-ID"/>
        </w:rPr>
        <w:t>T</w:t>
      </w:r>
      <w:r w:rsidRPr="008D017E">
        <w:rPr>
          <w:rFonts w:ascii="Times New Roman" w:eastAsia="Calibri" w:hAnsi="Times New Roman" w:cs="Times New Roman"/>
          <w:noProof/>
          <w:color w:val="000000" w:themeColor="text1"/>
          <w:spacing w:val="-2"/>
          <w:sz w:val="24"/>
          <w:szCs w:val="24"/>
          <w:lang w:val="id-ID"/>
        </w:rPr>
        <w:t>A</w:t>
      </w:r>
      <w:r w:rsidRPr="008D017E">
        <w:rPr>
          <w:rFonts w:ascii="Times New Roman" w:eastAsia="Calibri" w:hAnsi="Times New Roman" w:cs="Times New Roman"/>
          <w:noProof/>
          <w:color w:val="000000" w:themeColor="text1"/>
          <w:sz w:val="24"/>
          <w:szCs w:val="24"/>
          <w:lang w:val="id-ID"/>
        </w:rPr>
        <w:t>R</w:t>
      </w:r>
      <w:r w:rsidRPr="008D017E">
        <w:rPr>
          <w:rFonts w:ascii="Times New Roman" w:eastAsia="Calibri" w:hAnsi="Times New Roman" w:cs="Times New Roman"/>
          <w:noProof/>
          <w:color w:val="000000" w:themeColor="text1"/>
          <w:spacing w:val="-3"/>
          <w:sz w:val="24"/>
          <w:szCs w:val="24"/>
          <w:lang w:val="id-ID"/>
        </w:rPr>
        <w:t xml:space="preserve"> </w:t>
      </w:r>
      <w:r w:rsidRPr="008D017E">
        <w:rPr>
          <w:rFonts w:ascii="Times New Roman" w:eastAsia="Calibri" w:hAnsi="Times New Roman" w:cs="Times New Roman"/>
          <w:noProof/>
          <w:color w:val="000000" w:themeColor="text1"/>
          <w:spacing w:val="-1"/>
          <w:sz w:val="24"/>
          <w:szCs w:val="24"/>
          <w:lang w:val="id-ID"/>
        </w:rPr>
        <w:t>P</w:t>
      </w:r>
      <w:r w:rsidRPr="008D017E">
        <w:rPr>
          <w:rFonts w:ascii="Times New Roman" w:eastAsia="Calibri" w:hAnsi="Times New Roman" w:cs="Times New Roman"/>
          <w:noProof/>
          <w:color w:val="000000" w:themeColor="text1"/>
          <w:spacing w:val="1"/>
          <w:w w:val="99"/>
          <w:sz w:val="24"/>
          <w:szCs w:val="24"/>
          <w:lang w:val="id-ID"/>
        </w:rPr>
        <w:t>U</w:t>
      </w:r>
      <w:r w:rsidRPr="008D017E">
        <w:rPr>
          <w:rFonts w:ascii="Times New Roman" w:eastAsia="Calibri" w:hAnsi="Times New Roman" w:cs="Times New Roman"/>
          <w:noProof/>
          <w:color w:val="000000" w:themeColor="text1"/>
          <w:w w:val="99"/>
          <w:sz w:val="24"/>
          <w:szCs w:val="24"/>
          <w:lang w:val="id-ID"/>
        </w:rPr>
        <w:t>S</w:t>
      </w:r>
      <w:r w:rsidRPr="008D017E">
        <w:rPr>
          <w:rFonts w:ascii="Times New Roman" w:eastAsia="Calibri" w:hAnsi="Times New Roman" w:cs="Times New Roman"/>
          <w:noProof/>
          <w:color w:val="000000" w:themeColor="text1"/>
          <w:spacing w:val="1"/>
          <w:w w:val="99"/>
          <w:sz w:val="24"/>
          <w:szCs w:val="24"/>
          <w:lang w:val="id-ID"/>
        </w:rPr>
        <w:t>T</w:t>
      </w:r>
      <w:r w:rsidRPr="008D017E">
        <w:rPr>
          <w:rFonts w:ascii="Times New Roman" w:eastAsia="Calibri" w:hAnsi="Times New Roman" w:cs="Times New Roman"/>
          <w:noProof/>
          <w:color w:val="000000" w:themeColor="text1"/>
          <w:spacing w:val="-2"/>
          <w:w w:val="99"/>
          <w:sz w:val="24"/>
          <w:szCs w:val="24"/>
          <w:lang w:val="id-ID"/>
        </w:rPr>
        <w:t>A</w:t>
      </w:r>
      <w:r w:rsidRPr="008D017E">
        <w:rPr>
          <w:rFonts w:ascii="Times New Roman" w:eastAsia="Calibri" w:hAnsi="Times New Roman" w:cs="Times New Roman"/>
          <w:noProof/>
          <w:color w:val="000000" w:themeColor="text1"/>
          <w:spacing w:val="3"/>
          <w:w w:val="99"/>
          <w:sz w:val="24"/>
          <w:szCs w:val="24"/>
          <w:lang w:val="id-ID"/>
        </w:rPr>
        <w:t>K</w:t>
      </w:r>
      <w:r w:rsidRPr="008D017E">
        <w:rPr>
          <w:rFonts w:ascii="Times New Roman" w:eastAsia="Calibri" w:hAnsi="Times New Roman" w:cs="Times New Roman"/>
          <w:noProof/>
          <w:color w:val="000000" w:themeColor="text1"/>
          <w:w w:val="99"/>
          <w:sz w:val="24"/>
          <w:szCs w:val="24"/>
          <w:lang w:val="id-ID"/>
        </w:rPr>
        <w:t>A</w:t>
      </w:r>
    </w:p>
    <w:p w:rsidR="00CB3EC0" w:rsidRPr="008D017E" w:rsidRDefault="001F655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lang w:val="id-ID"/>
        </w:rPr>
        <w:fldChar w:fldCharType="begin" w:fldLock="1"/>
      </w:r>
      <w:r w:rsidRPr="008D017E">
        <w:rPr>
          <w:rFonts w:ascii="Times New Roman" w:hAnsi="Times New Roman" w:cs="Times New Roman"/>
          <w:noProof/>
          <w:sz w:val="24"/>
          <w:szCs w:val="24"/>
          <w:lang w:val="id-ID"/>
        </w:rPr>
        <w:instrText xml:space="preserve">ADDIN Mendeley Bibliography CSL_BIBLIOGRAPHY </w:instrText>
      </w:r>
      <w:r w:rsidRPr="008D017E">
        <w:rPr>
          <w:rFonts w:ascii="Times New Roman" w:hAnsi="Times New Roman" w:cs="Times New Roman"/>
          <w:noProof/>
          <w:sz w:val="24"/>
          <w:szCs w:val="24"/>
          <w:lang w:val="id-ID"/>
        </w:rPr>
        <w:fldChar w:fldCharType="separate"/>
      </w:r>
      <w:r w:rsidR="00CB3EC0" w:rsidRPr="008D017E">
        <w:rPr>
          <w:rFonts w:ascii="Times New Roman" w:hAnsi="Times New Roman" w:cs="Times New Roman"/>
          <w:noProof/>
          <w:sz w:val="24"/>
          <w:szCs w:val="24"/>
        </w:rPr>
        <w:t>Ebner, C. and Gegenfurtner, A. (2019) ‘Learning and Satisfaction in Webinar , Online , and Face-to-Face Instruction ’:, 4(September), pp. 1–11. doi: 10.3389/feduc.2019.00092.</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Gegenfurtner, A. and Ebner, C. (2019) ‘Webinars in higher education and professional training : A meta- analysis and systematic review of randomized controlled trials’, </w:t>
      </w:r>
      <w:r w:rsidRPr="008D017E">
        <w:rPr>
          <w:rFonts w:ascii="Times New Roman" w:hAnsi="Times New Roman" w:cs="Times New Roman"/>
          <w:i/>
          <w:iCs/>
          <w:noProof/>
          <w:sz w:val="24"/>
          <w:szCs w:val="24"/>
        </w:rPr>
        <w:t>Educational Research Review</w:t>
      </w:r>
      <w:r w:rsidRPr="008D017E">
        <w:rPr>
          <w:rFonts w:ascii="Times New Roman" w:hAnsi="Times New Roman" w:cs="Times New Roman"/>
          <w:noProof/>
          <w:sz w:val="24"/>
          <w:szCs w:val="24"/>
        </w:rPr>
        <w:t>, 28(November 2018), p. 100293. doi: 10.1016/j.edurev.2019.100293.</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Harden, R. M. and Lilley, P. (2018) </w:t>
      </w:r>
      <w:r w:rsidRPr="008D017E">
        <w:rPr>
          <w:rFonts w:ascii="Times New Roman" w:hAnsi="Times New Roman" w:cs="Times New Roman"/>
          <w:i/>
          <w:iCs/>
          <w:noProof/>
          <w:sz w:val="24"/>
          <w:szCs w:val="24"/>
        </w:rPr>
        <w:t>The eight roles of medical teacher: The purpose and function of a teacher in the healthcare professions</w:t>
      </w:r>
      <w:r w:rsidRPr="008D017E">
        <w:rPr>
          <w:rFonts w:ascii="Times New Roman" w:hAnsi="Times New Roman" w:cs="Times New Roman"/>
          <w:noProof/>
          <w:sz w:val="24"/>
          <w:szCs w:val="24"/>
        </w:rPr>
        <w:t>. Elsevier Health Sciences.</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Leslie, K.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(2013) ‘Advancing faculty development in medical education: A systematic review’, </w:t>
      </w:r>
      <w:r w:rsidRPr="008D017E">
        <w:rPr>
          <w:rFonts w:ascii="Times New Roman" w:hAnsi="Times New Roman" w:cs="Times New Roman"/>
          <w:i/>
          <w:iCs/>
          <w:noProof/>
          <w:sz w:val="24"/>
          <w:szCs w:val="24"/>
        </w:rPr>
        <w:t>Academic Medicine</w:t>
      </w:r>
      <w:r w:rsidRPr="008D017E">
        <w:rPr>
          <w:rFonts w:ascii="Times New Roman" w:hAnsi="Times New Roman" w:cs="Times New Roman"/>
          <w:noProof/>
          <w:sz w:val="24"/>
          <w:szCs w:val="24"/>
        </w:rPr>
        <w:t>, 88(7), pp. 1038–1045. doi: 10.1097/ACM.0b013e318294fd29.</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McLean, M., Cilliers, F. and Van Wyk, J. (2008) ‘Faculty development: Yesterday, today and tomorrow’, </w:t>
      </w:r>
      <w:r w:rsidRPr="008D017E">
        <w:rPr>
          <w:rFonts w:ascii="Times New Roman" w:hAnsi="Times New Roman" w:cs="Times New Roman"/>
          <w:i/>
          <w:iCs/>
          <w:noProof/>
          <w:sz w:val="24"/>
          <w:szCs w:val="24"/>
        </w:rPr>
        <w:t>Medical Teacher</w:t>
      </w:r>
      <w:r w:rsidRPr="008D017E">
        <w:rPr>
          <w:rFonts w:ascii="Times New Roman" w:hAnsi="Times New Roman" w:cs="Times New Roman"/>
          <w:noProof/>
          <w:sz w:val="24"/>
          <w:szCs w:val="24"/>
        </w:rPr>
        <w:t>, 30(6), pp. 555–584. doi: 10.1080/01421590802109834.</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Merriam, S. B.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(2018) ‘Video Observation With Guided Reflection: A Method for Continuing Teaching Education’, </w:t>
      </w:r>
      <w:r w:rsidRPr="008D017E">
        <w:rPr>
          <w:rFonts w:ascii="Times New Roman" w:hAnsi="Times New Roman" w:cs="Times New Roman"/>
          <w:i/>
          <w:iCs/>
          <w:noProof/>
          <w:sz w:val="24"/>
          <w:szCs w:val="24"/>
        </w:rPr>
        <w:t>Journal of graduate medical education</w:t>
      </w:r>
      <w:r w:rsidRPr="008D017E">
        <w:rPr>
          <w:rFonts w:ascii="Times New Roman" w:hAnsi="Times New Roman" w:cs="Times New Roman"/>
          <w:noProof/>
          <w:sz w:val="24"/>
          <w:szCs w:val="24"/>
        </w:rPr>
        <w:t>, 10(4), pp. 416–422. doi: 10.4300/JGME-D-17-00692.1.</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Odo, D. M., Pace, C. and Albers, P. (2017) ‘Socialization through (Online) Design: Moving into Online Critical Spaces of Learning.’, </w:t>
      </w:r>
      <w:r w:rsidRPr="008D017E">
        <w:rPr>
          <w:rFonts w:ascii="Times New Roman" w:hAnsi="Times New Roman" w:cs="Times New Roman"/>
          <w:i/>
          <w:iCs/>
          <w:noProof/>
          <w:sz w:val="24"/>
          <w:szCs w:val="24"/>
        </w:rPr>
        <w:t>in Education</w:t>
      </w:r>
      <w:r w:rsidRPr="008D017E">
        <w:rPr>
          <w:rFonts w:ascii="Times New Roman" w:hAnsi="Times New Roman" w:cs="Times New Roman"/>
          <w:noProof/>
          <w:sz w:val="24"/>
          <w:szCs w:val="24"/>
        </w:rPr>
        <w:t>, 23(1), pp. 41–65.</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Ramani, S. and Leinster, S. (2008) ‘AMEE guide no. 34: Teaching in the clinical environment’, </w:t>
      </w:r>
      <w:r w:rsidRPr="008D017E">
        <w:rPr>
          <w:rFonts w:ascii="Times New Roman" w:hAnsi="Times New Roman" w:cs="Times New Roman"/>
          <w:i/>
          <w:iCs/>
          <w:noProof/>
          <w:sz w:val="24"/>
          <w:szCs w:val="24"/>
        </w:rPr>
        <w:t>Medical Teacher</w:t>
      </w:r>
      <w:r w:rsidRPr="008D017E">
        <w:rPr>
          <w:rFonts w:ascii="Times New Roman" w:hAnsi="Times New Roman" w:cs="Times New Roman"/>
          <w:noProof/>
          <w:sz w:val="24"/>
          <w:szCs w:val="24"/>
        </w:rPr>
        <w:t>, 30(4), pp. 347–364. doi: 10.1080/01421590802061613.</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Skeff, K. M.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(1997) ‘Faculty development: A resource for clinical teachers’, </w:t>
      </w:r>
      <w:r w:rsidRPr="008D017E">
        <w:rPr>
          <w:rFonts w:ascii="Times New Roman" w:hAnsi="Times New Roman" w:cs="Times New Roman"/>
          <w:i/>
          <w:iCs/>
          <w:noProof/>
          <w:sz w:val="24"/>
          <w:szCs w:val="24"/>
        </w:rPr>
        <w:t xml:space="preserve">Journal of </w:t>
      </w:r>
      <w:r w:rsidRPr="008D017E">
        <w:rPr>
          <w:rFonts w:ascii="Times New Roman" w:hAnsi="Times New Roman" w:cs="Times New Roman"/>
          <w:i/>
          <w:iCs/>
          <w:noProof/>
          <w:sz w:val="24"/>
          <w:szCs w:val="24"/>
        </w:rPr>
        <w:lastRenderedPageBreak/>
        <w:t>General Internal Medicine</w:t>
      </w:r>
      <w:r w:rsidRPr="008D017E">
        <w:rPr>
          <w:rFonts w:ascii="Times New Roman" w:hAnsi="Times New Roman" w:cs="Times New Roman"/>
          <w:noProof/>
          <w:sz w:val="24"/>
          <w:szCs w:val="24"/>
        </w:rPr>
        <w:t>, 12(SUPPL. 2). doi: 10.1046/j.1525-1497.12.s2.8.x.</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Spencer, J. (2003) ‘Learning and teaching in clinical environment’, in Cantillon, P., Hutchinson, L., and Wood, D. (eds) </w:t>
      </w:r>
      <w:r w:rsidRPr="008D017E">
        <w:rPr>
          <w:rFonts w:ascii="Times New Roman" w:hAnsi="Times New Roman" w:cs="Times New Roman"/>
          <w:i/>
          <w:iCs/>
          <w:noProof/>
          <w:sz w:val="24"/>
          <w:szCs w:val="24"/>
        </w:rPr>
        <w:t>ABC of learning and teaching in medicine</w:t>
      </w:r>
      <w:r w:rsidRPr="008D017E">
        <w:rPr>
          <w:rFonts w:ascii="Times New Roman" w:hAnsi="Times New Roman" w:cs="Times New Roman"/>
          <w:noProof/>
          <w:sz w:val="24"/>
          <w:szCs w:val="24"/>
        </w:rPr>
        <w:t>. London: BMJ Publishing Group, pp. 25–28.</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Steinert, Y.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(2009) ‘Faculty development: A “Field of Dreams”?’, </w:t>
      </w:r>
      <w:r w:rsidRPr="008D017E">
        <w:rPr>
          <w:rFonts w:ascii="Times New Roman" w:hAnsi="Times New Roman" w:cs="Times New Roman"/>
          <w:i/>
          <w:iCs/>
          <w:noProof/>
          <w:sz w:val="24"/>
          <w:szCs w:val="24"/>
        </w:rPr>
        <w:t>Medical Education</w:t>
      </w:r>
      <w:r w:rsidRPr="008D017E">
        <w:rPr>
          <w:rFonts w:ascii="Times New Roman" w:hAnsi="Times New Roman" w:cs="Times New Roman"/>
          <w:noProof/>
          <w:sz w:val="24"/>
          <w:szCs w:val="24"/>
        </w:rPr>
        <w:t>, 43(1), pp. 42–49. doi: 10.1111/j.1365-2923.2008.03246.x.</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Steinert, Y.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(2010) ‘Faculty development: If you build it, they will come’, </w:t>
      </w:r>
      <w:r w:rsidRPr="008D017E">
        <w:rPr>
          <w:rFonts w:ascii="Times New Roman" w:hAnsi="Times New Roman" w:cs="Times New Roman"/>
          <w:i/>
          <w:iCs/>
          <w:noProof/>
          <w:sz w:val="24"/>
          <w:szCs w:val="24"/>
        </w:rPr>
        <w:t>Medical Education</w:t>
      </w:r>
      <w:r w:rsidRPr="008D017E">
        <w:rPr>
          <w:rFonts w:ascii="Times New Roman" w:hAnsi="Times New Roman" w:cs="Times New Roman"/>
          <w:noProof/>
          <w:sz w:val="24"/>
          <w:szCs w:val="24"/>
        </w:rPr>
        <w:t>, 44(9), pp. 900–907. doi: 10.1111/j.1365-2923.2010.03746.x.</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Steinert, Y., Basi, M. and Nugus, P. (2017) ‘How physicians teach in the clinical setting: The embedded roles of teaching and clinical care’, </w:t>
      </w:r>
      <w:r w:rsidRPr="008D017E">
        <w:rPr>
          <w:rFonts w:ascii="Times New Roman" w:hAnsi="Times New Roman" w:cs="Times New Roman"/>
          <w:i/>
          <w:iCs/>
          <w:noProof/>
          <w:sz w:val="24"/>
          <w:szCs w:val="24"/>
        </w:rPr>
        <w:t>Medical Teacher</w:t>
      </w:r>
      <w:r w:rsidRPr="008D017E">
        <w:rPr>
          <w:rFonts w:ascii="Times New Roman" w:hAnsi="Times New Roman" w:cs="Times New Roman"/>
          <w:noProof/>
          <w:sz w:val="24"/>
          <w:szCs w:val="24"/>
        </w:rPr>
        <w:t>, 39(12), pp. 1238–1244. doi: 10.1080/0142159X.2017.1360473.</w:t>
      </w:r>
    </w:p>
    <w:p w:rsidR="00CB3EC0" w:rsidRPr="008D017E" w:rsidRDefault="00CB3EC0" w:rsidP="00CB3EC0">
      <w:pPr>
        <w:autoSpaceDE w:val="0"/>
        <w:autoSpaceDN w:val="0"/>
        <w:adjustRightInd w:val="0"/>
        <w:spacing w:line="240" w:lineRule="auto"/>
        <w:rPr>
          <w:rFonts w:ascii="Times New Roman" w:hAnsi="Times New Roman" w:cs="Times New Roman"/>
          <w:noProof/>
          <w:sz w:val="24"/>
          <w:szCs w:val="24"/>
        </w:rPr>
      </w:pPr>
      <w:r w:rsidRPr="008D017E">
        <w:rPr>
          <w:rFonts w:ascii="Times New Roman" w:hAnsi="Times New Roman" w:cs="Times New Roman"/>
          <w:noProof/>
          <w:sz w:val="24"/>
          <w:szCs w:val="24"/>
        </w:rPr>
        <w:t xml:space="preserve">Topor, D. R. </w:t>
      </w:r>
      <w:r w:rsidRPr="008D017E">
        <w:rPr>
          <w:rFonts w:ascii="Times New Roman" w:hAnsi="Times New Roman" w:cs="Times New Roman"/>
          <w:i/>
          <w:iCs/>
          <w:noProof/>
          <w:sz w:val="24"/>
          <w:szCs w:val="24"/>
        </w:rPr>
        <w:t>et al.</w:t>
      </w:r>
      <w:r w:rsidRPr="008D017E">
        <w:rPr>
          <w:rFonts w:ascii="Times New Roman" w:hAnsi="Times New Roman" w:cs="Times New Roman"/>
          <w:noProof/>
          <w:sz w:val="24"/>
          <w:szCs w:val="24"/>
        </w:rPr>
        <w:t xml:space="preserve"> (2020) ‘Twelve tips to present an effective webinar’, </w:t>
      </w:r>
      <w:r w:rsidRPr="008D017E">
        <w:rPr>
          <w:rFonts w:ascii="Times New Roman" w:hAnsi="Times New Roman" w:cs="Times New Roman"/>
          <w:i/>
          <w:iCs/>
          <w:noProof/>
          <w:sz w:val="24"/>
          <w:szCs w:val="24"/>
        </w:rPr>
        <w:t>Medical Teacher</w:t>
      </w:r>
      <w:r w:rsidRPr="008D017E">
        <w:rPr>
          <w:rFonts w:ascii="Times New Roman" w:hAnsi="Times New Roman" w:cs="Times New Roman"/>
          <w:noProof/>
          <w:sz w:val="24"/>
          <w:szCs w:val="24"/>
        </w:rPr>
        <w:t>, 0(0), pp. 1–5. doi: 10.1080/0142159X.2020.1775185.</w:t>
      </w:r>
    </w:p>
    <w:p w:rsidR="00B86388" w:rsidRPr="008D017E" w:rsidRDefault="001F6550" w:rsidP="00CB3EC0">
      <w:pPr>
        <w:autoSpaceDE w:val="0"/>
        <w:autoSpaceDN w:val="0"/>
        <w:adjustRightInd w:val="0"/>
        <w:spacing w:line="240" w:lineRule="auto"/>
        <w:rPr>
          <w:rFonts w:ascii="Times New Roman" w:hAnsi="Times New Roman" w:cs="Times New Roman"/>
          <w:noProof/>
          <w:sz w:val="24"/>
          <w:szCs w:val="24"/>
          <w:lang w:val="id-ID"/>
        </w:rPr>
      </w:pPr>
      <w:r w:rsidRPr="008D017E">
        <w:rPr>
          <w:rFonts w:ascii="Times New Roman" w:hAnsi="Times New Roman" w:cs="Times New Roman"/>
          <w:noProof/>
          <w:sz w:val="24"/>
          <w:szCs w:val="24"/>
          <w:lang w:val="id-ID"/>
        </w:rPr>
        <w:fldChar w:fldCharType="end"/>
      </w:r>
    </w:p>
    <w:sectPr w:rsidR="00B86388" w:rsidRPr="008D017E" w:rsidSect="008D017E">
      <w:headerReference w:type="default" r:id="rId16"/>
      <w:footerReference w:type="default" r:id="rId17"/>
      <w:pgSz w:w="11909" w:h="16834"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518" w:rsidRDefault="00C51518">
      <w:pPr>
        <w:spacing w:after="0" w:line="240" w:lineRule="auto"/>
      </w:pPr>
      <w:r>
        <w:separator/>
      </w:r>
    </w:p>
  </w:endnote>
  <w:endnote w:type="continuationSeparator" w:id="0">
    <w:p w:rsidR="00C51518" w:rsidRDefault="00C5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28097"/>
      <w:docPartObj>
        <w:docPartGallery w:val="Page Numbers (Bottom of Page)"/>
        <w:docPartUnique/>
      </w:docPartObj>
    </w:sdtPr>
    <w:sdtEndPr>
      <w:rPr>
        <w:noProof/>
      </w:rPr>
    </w:sdtEndPr>
    <w:sdtContent>
      <w:p w:rsidR="00EC3469" w:rsidRDefault="00EC3469">
        <w:pPr>
          <w:pStyle w:val="Footer"/>
          <w:jc w:val="center"/>
        </w:pPr>
        <w:r>
          <w:fldChar w:fldCharType="begin"/>
        </w:r>
        <w:r>
          <w:instrText xml:space="preserve"> PAGE   \* MERGEFORMAT </w:instrText>
        </w:r>
        <w:r>
          <w:fldChar w:fldCharType="separate"/>
        </w:r>
        <w:r w:rsidR="001D38F6">
          <w:rPr>
            <w:noProof/>
          </w:rPr>
          <w:t>3</w:t>
        </w:r>
        <w:r>
          <w:rPr>
            <w:noProof/>
          </w:rPr>
          <w:fldChar w:fldCharType="end"/>
        </w:r>
      </w:p>
    </w:sdtContent>
  </w:sdt>
  <w:p w:rsidR="00B86388" w:rsidRDefault="00B8638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518" w:rsidRDefault="00C51518">
      <w:pPr>
        <w:spacing w:after="0" w:line="240" w:lineRule="auto"/>
      </w:pPr>
      <w:r>
        <w:separator/>
      </w:r>
    </w:p>
  </w:footnote>
  <w:footnote w:type="continuationSeparator" w:id="0">
    <w:p w:rsidR="00C51518" w:rsidRDefault="00C51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17E" w:rsidRDefault="008D017E" w:rsidP="008D017E">
    <w:pPr>
      <w:pStyle w:val="Header"/>
      <w:pBdr>
        <w:bottom w:val="single" w:sz="4" w:space="1" w:color="auto"/>
      </w:pBdr>
      <w:tabs>
        <w:tab w:val="right" w:pos="9614"/>
      </w:tabs>
      <w:rPr>
        <w:rFonts w:ascii="Bell MT" w:hAnsi="Bell MT"/>
        <w:b/>
        <w:sz w:val="28"/>
      </w:rPr>
    </w:pPr>
  </w:p>
  <w:p w:rsidR="008D017E" w:rsidRDefault="008D017E" w:rsidP="008D017E">
    <w:pPr>
      <w:pStyle w:val="Header"/>
      <w:pBdr>
        <w:bottom w:val="single" w:sz="4" w:space="1" w:color="auto"/>
      </w:pBdr>
      <w:tabs>
        <w:tab w:val="right" w:pos="9614"/>
      </w:tabs>
      <w:rPr>
        <w:rFonts w:ascii="Bell MT" w:hAnsi="Bell MT"/>
        <w:i/>
      </w:rPr>
    </w:pPr>
    <w:proofErr w:type="spellStart"/>
    <w:r>
      <w:rPr>
        <w:rFonts w:ascii="Bell MT" w:hAnsi="Bell MT"/>
        <w:b/>
        <w:sz w:val="28"/>
      </w:rPr>
      <w:t>Jurnal</w:t>
    </w:r>
    <w:proofErr w:type="spellEnd"/>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sidRPr="00A9245A">
      <w:rPr>
        <w:rFonts w:ascii="Bell MT" w:hAnsi="Bell MT"/>
      </w:rPr>
      <w:t xml:space="preserve">e-ISSN: </w:t>
    </w:r>
    <w:r w:rsidRPr="005A70CE">
      <w:rPr>
        <w:rFonts w:ascii="Bell MT" w:hAnsi="Bell MT"/>
      </w:rPr>
      <w:t>2715-9574</w:t>
    </w:r>
  </w:p>
  <w:p w:rsidR="00B86388" w:rsidRPr="008D017E" w:rsidRDefault="008D017E" w:rsidP="008D017E">
    <w:pPr>
      <w:pStyle w:val="Header"/>
      <w:pBdr>
        <w:bottom w:val="single" w:sz="4" w:space="1" w:color="auto"/>
      </w:pBdr>
      <w:tabs>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 xml:space="preserve">                      Vol. </w:t>
    </w:r>
    <w:r>
      <w:rPr>
        <w:rFonts w:ascii="Bell MT" w:hAnsi="Bell MT"/>
        <w:lang w:val="id-ID"/>
      </w:rPr>
      <w:t>2</w:t>
    </w:r>
    <w:r>
      <w:rPr>
        <w:rFonts w:ascii="Bell MT" w:hAnsi="Bell MT"/>
      </w:rPr>
      <w:t xml:space="preserve"> No. </w:t>
    </w:r>
    <w:r>
      <w:rPr>
        <w:rFonts w:ascii="Bell MT" w:hAnsi="Bell MT"/>
        <w:lang w:val="id-ID"/>
      </w:rPr>
      <w:t>xxxx</w:t>
    </w:r>
    <w:r>
      <w:rPr>
        <w:rFonts w:ascii="Bell MT" w:hAnsi="Bell MT"/>
      </w:rPr>
      <w:t>, 202</w:t>
    </w:r>
    <w:r>
      <w:rPr>
        <w:rFonts w:ascii="Bell MT" w:hAnsi="Bell MT"/>
        <w:lang w:val="id-ID"/>
      </w:rPr>
      <w:t>1</w:t>
    </w:r>
    <w:r w:rsidRPr="008F0908">
      <w:rPr>
        <w:rFonts w:ascii="Bell MT" w:hAnsi="Bell MT"/>
        <w:i/>
      </w:rPr>
      <w:t xml:space="preserve">                                                                                                                    </w:t>
    </w:r>
    <w:r>
      <w:rPr>
        <w:rFonts w:ascii="Bell MT" w:hAnsi="Bell MT"/>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KyNDUxMjMzMbc0NjNU0lEKTi0uzszPAykwqgUA66l8aCwAAAA="/>
  </w:docVars>
  <w:rsids>
    <w:rsidRoot w:val="00B86388"/>
    <w:rsid w:val="00002605"/>
    <w:rsid w:val="00023955"/>
    <w:rsid w:val="00040508"/>
    <w:rsid w:val="00047AC7"/>
    <w:rsid w:val="0007475B"/>
    <w:rsid w:val="00090007"/>
    <w:rsid w:val="00093E6F"/>
    <w:rsid w:val="000B4845"/>
    <w:rsid w:val="000C25A3"/>
    <w:rsid w:val="000E7BB5"/>
    <w:rsid w:val="000F1BB6"/>
    <w:rsid w:val="00140C7F"/>
    <w:rsid w:val="001738FB"/>
    <w:rsid w:val="00197377"/>
    <w:rsid w:val="001D38F6"/>
    <w:rsid w:val="001F6550"/>
    <w:rsid w:val="002041AD"/>
    <w:rsid w:val="0022508B"/>
    <w:rsid w:val="00347B16"/>
    <w:rsid w:val="003A2C6A"/>
    <w:rsid w:val="003A381C"/>
    <w:rsid w:val="003A4131"/>
    <w:rsid w:val="003E3A59"/>
    <w:rsid w:val="00406183"/>
    <w:rsid w:val="00436ED4"/>
    <w:rsid w:val="00477F2D"/>
    <w:rsid w:val="005861BC"/>
    <w:rsid w:val="005C3FE8"/>
    <w:rsid w:val="00602C19"/>
    <w:rsid w:val="0065014B"/>
    <w:rsid w:val="006912A1"/>
    <w:rsid w:val="0073085A"/>
    <w:rsid w:val="007A3D21"/>
    <w:rsid w:val="007B29D2"/>
    <w:rsid w:val="007C1ED1"/>
    <w:rsid w:val="007C27EB"/>
    <w:rsid w:val="00812CC3"/>
    <w:rsid w:val="0082655C"/>
    <w:rsid w:val="008561FB"/>
    <w:rsid w:val="0088404A"/>
    <w:rsid w:val="008B5D50"/>
    <w:rsid w:val="008C412D"/>
    <w:rsid w:val="008D017E"/>
    <w:rsid w:val="009575A9"/>
    <w:rsid w:val="00986E2E"/>
    <w:rsid w:val="00A03FE5"/>
    <w:rsid w:val="00A21C48"/>
    <w:rsid w:val="00A338F1"/>
    <w:rsid w:val="00A542B7"/>
    <w:rsid w:val="00AF1DE3"/>
    <w:rsid w:val="00B146C2"/>
    <w:rsid w:val="00B86388"/>
    <w:rsid w:val="00BA4B3D"/>
    <w:rsid w:val="00BC64B3"/>
    <w:rsid w:val="00BE2CD5"/>
    <w:rsid w:val="00C07102"/>
    <w:rsid w:val="00C36C9D"/>
    <w:rsid w:val="00C51518"/>
    <w:rsid w:val="00C619A2"/>
    <w:rsid w:val="00CB2134"/>
    <w:rsid w:val="00CB3EC0"/>
    <w:rsid w:val="00CC25AD"/>
    <w:rsid w:val="00CF25F0"/>
    <w:rsid w:val="00CF6F58"/>
    <w:rsid w:val="00D04D2D"/>
    <w:rsid w:val="00D67996"/>
    <w:rsid w:val="00D85EDF"/>
    <w:rsid w:val="00DA082B"/>
    <w:rsid w:val="00E071D8"/>
    <w:rsid w:val="00E20609"/>
    <w:rsid w:val="00E23077"/>
    <w:rsid w:val="00E6670C"/>
    <w:rsid w:val="00EC3469"/>
    <w:rsid w:val="00F26FB4"/>
    <w:rsid w:val="00F9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D0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DA082B"/>
  </w:style>
  <w:style w:type="table" w:styleId="TableGrid">
    <w:name w:val="Table Grid"/>
    <w:basedOn w:val="TableNormal"/>
    <w:uiPriority w:val="59"/>
    <w:rsid w:val="00BA4B3D"/>
    <w:pPr>
      <w:widowControl/>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25A3"/>
    <w:rPr>
      <w:color w:val="0000FF" w:themeColor="hyperlink"/>
      <w:u w:val="single"/>
    </w:rPr>
  </w:style>
  <w:style w:type="paragraph" w:styleId="ListParagraph">
    <w:name w:val="List Paragraph"/>
    <w:basedOn w:val="Normal"/>
    <w:uiPriority w:val="34"/>
    <w:qFormat/>
    <w:rsid w:val="008C412D"/>
    <w:pPr>
      <w:widowControl/>
      <w:ind w:left="720"/>
      <w:contextualSpacing/>
    </w:pPr>
    <w:rPr>
      <w:lang w:val="en-ID"/>
    </w:rPr>
  </w:style>
  <w:style w:type="paragraph" w:styleId="BalloonText">
    <w:name w:val="Balloon Text"/>
    <w:basedOn w:val="Normal"/>
    <w:link w:val="BalloonTextChar"/>
    <w:uiPriority w:val="99"/>
    <w:semiHidden/>
    <w:unhideWhenUsed/>
    <w:rsid w:val="00F2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B4"/>
    <w:rPr>
      <w:rFonts w:ascii="Tahoma" w:hAnsi="Tahoma" w:cs="Tahoma"/>
      <w:sz w:val="16"/>
      <w:szCs w:val="16"/>
    </w:rPr>
  </w:style>
  <w:style w:type="character" w:styleId="CommentReference">
    <w:name w:val="annotation reference"/>
    <w:basedOn w:val="DefaultParagraphFont"/>
    <w:uiPriority w:val="99"/>
    <w:semiHidden/>
    <w:unhideWhenUsed/>
    <w:rsid w:val="00602C19"/>
    <w:rPr>
      <w:sz w:val="16"/>
      <w:szCs w:val="16"/>
    </w:rPr>
  </w:style>
  <w:style w:type="paragraph" w:styleId="CommentText">
    <w:name w:val="annotation text"/>
    <w:basedOn w:val="Normal"/>
    <w:link w:val="CommentTextChar"/>
    <w:uiPriority w:val="99"/>
    <w:semiHidden/>
    <w:unhideWhenUsed/>
    <w:rsid w:val="00602C19"/>
    <w:pPr>
      <w:spacing w:line="240" w:lineRule="auto"/>
    </w:pPr>
    <w:rPr>
      <w:sz w:val="20"/>
      <w:szCs w:val="20"/>
    </w:rPr>
  </w:style>
  <w:style w:type="character" w:customStyle="1" w:styleId="CommentTextChar">
    <w:name w:val="Comment Text Char"/>
    <w:basedOn w:val="DefaultParagraphFont"/>
    <w:link w:val="CommentText"/>
    <w:uiPriority w:val="99"/>
    <w:semiHidden/>
    <w:rsid w:val="00602C19"/>
    <w:rPr>
      <w:sz w:val="20"/>
      <w:szCs w:val="20"/>
    </w:rPr>
  </w:style>
  <w:style w:type="paragraph" w:styleId="CommentSubject">
    <w:name w:val="annotation subject"/>
    <w:basedOn w:val="CommentText"/>
    <w:next w:val="CommentText"/>
    <w:link w:val="CommentSubjectChar"/>
    <w:uiPriority w:val="99"/>
    <w:semiHidden/>
    <w:unhideWhenUsed/>
    <w:rsid w:val="00602C19"/>
    <w:rPr>
      <w:b/>
      <w:bCs/>
    </w:rPr>
  </w:style>
  <w:style w:type="character" w:customStyle="1" w:styleId="CommentSubjectChar">
    <w:name w:val="Comment Subject Char"/>
    <w:basedOn w:val="CommentTextChar"/>
    <w:link w:val="CommentSubject"/>
    <w:uiPriority w:val="99"/>
    <w:semiHidden/>
    <w:rsid w:val="00602C19"/>
    <w:rPr>
      <w:b/>
      <w:bCs/>
      <w:sz w:val="20"/>
      <w:szCs w:val="20"/>
    </w:rPr>
  </w:style>
  <w:style w:type="character" w:styleId="FollowedHyperlink">
    <w:name w:val="FollowedHyperlink"/>
    <w:basedOn w:val="DefaultParagraphFont"/>
    <w:uiPriority w:val="99"/>
    <w:semiHidden/>
    <w:unhideWhenUsed/>
    <w:rsid w:val="009575A9"/>
    <w:rPr>
      <w:color w:val="800080" w:themeColor="followedHyperlink"/>
      <w:u w:val="single"/>
    </w:rPr>
  </w:style>
  <w:style w:type="paragraph" w:styleId="Header">
    <w:name w:val="header"/>
    <w:basedOn w:val="Normal"/>
    <w:link w:val="HeaderChar"/>
    <w:uiPriority w:val="99"/>
    <w:unhideWhenUsed/>
    <w:rsid w:val="008D0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7E"/>
  </w:style>
  <w:style w:type="paragraph" w:styleId="Footer">
    <w:name w:val="footer"/>
    <w:basedOn w:val="Normal"/>
    <w:link w:val="FooterChar"/>
    <w:uiPriority w:val="99"/>
    <w:unhideWhenUsed/>
    <w:rsid w:val="008D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7E"/>
  </w:style>
  <w:style w:type="character" w:customStyle="1" w:styleId="Heading1Char">
    <w:name w:val="Heading 1 Char"/>
    <w:basedOn w:val="DefaultParagraphFont"/>
    <w:link w:val="Heading1"/>
    <w:uiPriority w:val="9"/>
    <w:rsid w:val="008D01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D0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DA082B"/>
  </w:style>
  <w:style w:type="table" w:styleId="TableGrid">
    <w:name w:val="Table Grid"/>
    <w:basedOn w:val="TableNormal"/>
    <w:uiPriority w:val="59"/>
    <w:rsid w:val="00BA4B3D"/>
    <w:pPr>
      <w:widowControl/>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25A3"/>
    <w:rPr>
      <w:color w:val="0000FF" w:themeColor="hyperlink"/>
      <w:u w:val="single"/>
    </w:rPr>
  </w:style>
  <w:style w:type="paragraph" w:styleId="ListParagraph">
    <w:name w:val="List Paragraph"/>
    <w:basedOn w:val="Normal"/>
    <w:uiPriority w:val="34"/>
    <w:qFormat/>
    <w:rsid w:val="008C412D"/>
    <w:pPr>
      <w:widowControl/>
      <w:ind w:left="720"/>
      <w:contextualSpacing/>
    </w:pPr>
    <w:rPr>
      <w:lang w:val="en-ID"/>
    </w:rPr>
  </w:style>
  <w:style w:type="paragraph" w:styleId="BalloonText">
    <w:name w:val="Balloon Text"/>
    <w:basedOn w:val="Normal"/>
    <w:link w:val="BalloonTextChar"/>
    <w:uiPriority w:val="99"/>
    <w:semiHidden/>
    <w:unhideWhenUsed/>
    <w:rsid w:val="00F2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B4"/>
    <w:rPr>
      <w:rFonts w:ascii="Tahoma" w:hAnsi="Tahoma" w:cs="Tahoma"/>
      <w:sz w:val="16"/>
      <w:szCs w:val="16"/>
    </w:rPr>
  </w:style>
  <w:style w:type="character" w:styleId="CommentReference">
    <w:name w:val="annotation reference"/>
    <w:basedOn w:val="DefaultParagraphFont"/>
    <w:uiPriority w:val="99"/>
    <w:semiHidden/>
    <w:unhideWhenUsed/>
    <w:rsid w:val="00602C19"/>
    <w:rPr>
      <w:sz w:val="16"/>
      <w:szCs w:val="16"/>
    </w:rPr>
  </w:style>
  <w:style w:type="paragraph" w:styleId="CommentText">
    <w:name w:val="annotation text"/>
    <w:basedOn w:val="Normal"/>
    <w:link w:val="CommentTextChar"/>
    <w:uiPriority w:val="99"/>
    <w:semiHidden/>
    <w:unhideWhenUsed/>
    <w:rsid w:val="00602C19"/>
    <w:pPr>
      <w:spacing w:line="240" w:lineRule="auto"/>
    </w:pPr>
    <w:rPr>
      <w:sz w:val="20"/>
      <w:szCs w:val="20"/>
    </w:rPr>
  </w:style>
  <w:style w:type="character" w:customStyle="1" w:styleId="CommentTextChar">
    <w:name w:val="Comment Text Char"/>
    <w:basedOn w:val="DefaultParagraphFont"/>
    <w:link w:val="CommentText"/>
    <w:uiPriority w:val="99"/>
    <w:semiHidden/>
    <w:rsid w:val="00602C19"/>
    <w:rPr>
      <w:sz w:val="20"/>
      <w:szCs w:val="20"/>
    </w:rPr>
  </w:style>
  <w:style w:type="paragraph" w:styleId="CommentSubject">
    <w:name w:val="annotation subject"/>
    <w:basedOn w:val="CommentText"/>
    <w:next w:val="CommentText"/>
    <w:link w:val="CommentSubjectChar"/>
    <w:uiPriority w:val="99"/>
    <w:semiHidden/>
    <w:unhideWhenUsed/>
    <w:rsid w:val="00602C19"/>
    <w:rPr>
      <w:b/>
      <w:bCs/>
    </w:rPr>
  </w:style>
  <w:style w:type="character" w:customStyle="1" w:styleId="CommentSubjectChar">
    <w:name w:val="Comment Subject Char"/>
    <w:basedOn w:val="CommentTextChar"/>
    <w:link w:val="CommentSubject"/>
    <w:uiPriority w:val="99"/>
    <w:semiHidden/>
    <w:rsid w:val="00602C19"/>
    <w:rPr>
      <w:b/>
      <w:bCs/>
      <w:sz w:val="20"/>
      <w:szCs w:val="20"/>
    </w:rPr>
  </w:style>
  <w:style w:type="character" w:styleId="FollowedHyperlink">
    <w:name w:val="FollowedHyperlink"/>
    <w:basedOn w:val="DefaultParagraphFont"/>
    <w:uiPriority w:val="99"/>
    <w:semiHidden/>
    <w:unhideWhenUsed/>
    <w:rsid w:val="009575A9"/>
    <w:rPr>
      <w:color w:val="800080" w:themeColor="followedHyperlink"/>
      <w:u w:val="single"/>
    </w:rPr>
  </w:style>
  <w:style w:type="paragraph" w:styleId="Header">
    <w:name w:val="header"/>
    <w:basedOn w:val="Normal"/>
    <w:link w:val="HeaderChar"/>
    <w:uiPriority w:val="99"/>
    <w:unhideWhenUsed/>
    <w:rsid w:val="008D0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7E"/>
  </w:style>
  <w:style w:type="paragraph" w:styleId="Footer">
    <w:name w:val="footer"/>
    <w:basedOn w:val="Normal"/>
    <w:link w:val="FooterChar"/>
    <w:uiPriority w:val="99"/>
    <w:unhideWhenUsed/>
    <w:rsid w:val="008D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7E"/>
  </w:style>
  <w:style w:type="character" w:customStyle="1" w:styleId="Heading1Char">
    <w:name w:val="Heading 1 Char"/>
    <w:basedOn w:val="DefaultParagraphFont"/>
    <w:link w:val="Heading1"/>
    <w:uiPriority w:val="9"/>
    <w:rsid w:val="008D01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791868">
      <w:bodyDiv w:val="1"/>
      <w:marLeft w:val="0"/>
      <w:marRight w:val="0"/>
      <w:marTop w:val="0"/>
      <w:marBottom w:val="0"/>
      <w:divBdr>
        <w:top w:val="none" w:sz="0" w:space="0" w:color="auto"/>
        <w:left w:val="none" w:sz="0" w:space="0" w:color="auto"/>
        <w:bottom w:val="none" w:sz="0" w:space="0" w:color="auto"/>
        <w:right w:val="none" w:sz="0" w:space="0" w:color="auto"/>
      </w:divBdr>
      <w:divsChild>
        <w:div w:id="16778931">
          <w:marLeft w:val="547"/>
          <w:marRight w:val="0"/>
          <w:marTop w:val="0"/>
          <w:marBottom w:val="0"/>
          <w:divBdr>
            <w:top w:val="none" w:sz="0" w:space="0" w:color="auto"/>
            <w:left w:val="none" w:sz="0" w:space="0" w:color="auto"/>
            <w:bottom w:val="none" w:sz="0" w:space="0" w:color="auto"/>
            <w:right w:val="none" w:sz="0" w:space="0" w:color="auto"/>
          </w:divBdr>
        </w:div>
        <w:div w:id="212483836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ps@unram.ac.id" TargetMode="External"/><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bit.ly/materiwebinardiknis"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youtube.com/watch?v=tbMG_CH22XA"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D8DA64-471E-4834-B2D1-957D698A375E}" type="doc">
      <dgm:prSet loTypeId="urn:microsoft.com/office/officeart/2005/8/layout/target3" loCatId="list" qsTypeId="urn:microsoft.com/office/officeart/2005/8/quickstyle/simple4" qsCatId="simple" csTypeId="urn:microsoft.com/office/officeart/2005/8/colors/colorful3" csCatId="colorful" phldr="1"/>
      <dgm:spPr/>
      <dgm:t>
        <a:bodyPr/>
        <a:lstStyle/>
        <a:p>
          <a:endParaRPr lang="en-US"/>
        </a:p>
      </dgm:t>
    </dgm:pt>
    <dgm:pt modelId="{1E05C721-2667-443E-95F1-CD0443B178D3}">
      <dgm:prSet phldrT="[Text]" custT="1"/>
      <dgm:spPr/>
      <dgm:t>
        <a:bodyPr/>
        <a:lstStyle/>
        <a:p>
          <a:r>
            <a:rPr lang="en-US" sz="1400" smtClean="0"/>
            <a:t>Professionalism</a:t>
          </a:r>
        </a:p>
        <a:p>
          <a:r>
            <a:rPr lang="en-US" sz="1000" smtClean="0"/>
            <a:t>(The right person doing it)</a:t>
          </a:r>
          <a:endParaRPr lang="en-US" sz="1000"/>
        </a:p>
      </dgm:t>
    </dgm:pt>
    <dgm:pt modelId="{96F7D8DE-34BD-4C14-9563-B81FB46ECDF1}" type="parTrans" cxnId="{9CCCDFA2-8A03-44F2-8178-6DBAAAE7767C}">
      <dgm:prSet/>
      <dgm:spPr/>
      <dgm:t>
        <a:bodyPr/>
        <a:lstStyle/>
        <a:p>
          <a:endParaRPr lang="en-US"/>
        </a:p>
      </dgm:t>
    </dgm:pt>
    <dgm:pt modelId="{9B248ADE-B1DA-428F-8163-EA8DF3A37A7B}" type="sibTrans" cxnId="{9CCCDFA2-8A03-44F2-8178-6DBAAAE7767C}">
      <dgm:prSet/>
      <dgm:spPr/>
      <dgm:t>
        <a:bodyPr/>
        <a:lstStyle/>
        <a:p>
          <a:endParaRPr lang="en-US"/>
        </a:p>
      </dgm:t>
    </dgm:pt>
    <dgm:pt modelId="{C92D3E33-8B9D-4E3C-8F6A-A0CA88AD2B45}">
      <dgm:prSet phldrT="[Text]" custT="1"/>
      <dgm:spPr/>
      <dgm:t>
        <a:bodyPr/>
        <a:lstStyle/>
        <a:p>
          <a:r>
            <a:rPr lang="en-US" sz="700" smtClean="0"/>
            <a:t>Soliciting feedback on teaching</a:t>
          </a:r>
          <a:endParaRPr lang="en-US" sz="700"/>
        </a:p>
      </dgm:t>
    </dgm:pt>
    <dgm:pt modelId="{87B7BBC2-B713-49E9-82BD-048BDDA28DF7}" type="parTrans" cxnId="{7B388829-27C2-4372-9405-CABA28FE6108}">
      <dgm:prSet/>
      <dgm:spPr/>
      <dgm:t>
        <a:bodyPr/>
        <a:lstStyle/>
        <a:p>
          <a:endParaRPr lang="en-US"/>
        </a:p>
      </dgm:t>
    </dgm:pt>
    <dgm:pt modelId="{C811F2C8-774F-4C08-9001-FE0DD2E78F57}" type="sibTrans" cxnId="{7B388829-27C2-4372-9405-CABA28FE6108}">
      <dgm:prSet/>
      <dgm:spPr/>
      <dgm:t>
        <a:bodyPr/>
        <a:lstStyle/>
        <a:p>
          <a:endParaRPr lang="en-US"/>
        </a:p>
      </dgm:t>
    </dgm:pt>
    <dgm:pt modelId="{82C847E1-AABA-4623-936D-E12457306B48}">
      <dgm:prSet phldrT="[Text]" custT="1"/>
      <dgm:spPr/>
      <dgm:t>
        <a:bodyPr/>
        <a:lstStyle/>
        <a:p>
          <a:r>
            <a:rPr lang="en-US" sz="700" smtClean="0"/>
            <a:t>Self-reflection on teaching strengths and weaknessess</a:t>
          </a:r>
          <a:endParaRPr lang="en-US" sz="700"/>
        </a:p>
      </dgm:t>
    </dgm:pt>
    <dgm:pt modelId="{513EE0D8-6F20-4AA9-807B-FF977B8997FE}" type="parTrans" cxnId="{E12409E7-68B3-4746-978A-5F07E2F24697}">
      <dgm:prSet/>
      <dgm:spPr/>
      <dgm:t>
        <a:bodyPr/>
        <a:lstStyle/>
        <a:p>
          <a:endParaRPr lang="en-US"/>
        </a:p>
      </dgm:t>
    </dgm:pt>
    <dgm:pt modelId="{E4739EC5-3DA0-4349-98EB-A8FA9CBABFCE}" type="sibTrans" cxnId="{E12409E7-68B3-4746-978A-5F07E2F24697}">
      <dgm:prSet/>
      <dgm:spPr/>
      <dgm:t>
        <a:bodyPr/>
        <a:lstStyle/>
        <a:p>
          <a:endParaRPr lang="en-US"/>
        </a:p>
      </dgm:t>
    </dgm:pt>
    <dgm:pt modelId="{0DABC2E7-EFCD-4022-A0DA-3BE97ABAFD3A}">
      <dgm:prSet phldrT="[Text]" custT="1"/>
      <dgm:spPr/>
      <dgm:t>
        <a:bodyPr/>
        <a:lstStyle/>
        <a:p>
          <a:r>
            <a:rPr lang="en-US" sz="1400" smtClean="0"/>
            <a:t>Approach to teaching</a:t>
          </a:r>
        </a:p>
        <a:p>
          <a:r>
            <a:rPr lang="en-US" sz="1000" smtClean="0"/>
            <a:t>(Doing the things right)</a:t>
          </a:r>
          <a:endParaRPr lang="en-US" sz="1400"/>
        </a:p>
      </dgm:t>
    </dgm:pt>
    <dgm:pt modelId="{A2D65EC5-11F3-4B24-A043-8ADB77D6DF98}" type="parTrans" cxnId="{D687A3B3-B697-4431-BDC3-9D7317E7D456}">
      <dgm:prSet/>
      <dgm:spPr/>
      <dgm:t>
        <a:bodyPr/>
        <a:lstStyle/>
        <a:p>
          <a:endParaRPr lang="en-US"/>
        </a:p>
      </dgm:t>
    </dgm:pt>
    <dgm:pt modelId="{F55CCA83-C656-4EA8-B702-1E033C3E56D4}" type="sibTrans" cxnId="{D687A3B3-B697-4431-BDC3-9D7317E7D456}">
      <dgm:prSet/>
      <dgm:spPr/>
      <dgm:t>
        <a:bodyPr/>
        <a:lstStyle/>
        <a:p>
          <a:endParaRPr lang="en-US"/>
        </a:p>
      </dgm:t>
    </dgm:pt>
    <dgm:pt modelId="{23DE3127-8824-42B8-9A15-52387ED31222}">
      <dgm:prSet phldrT="[Text]" custT="1"/>
      <dgm:spPr/>
      <dgm:t>
        <a:bodyPr/>
        <a:lstStyle/>
        <a:p>
          <a:r>
            <a:rPr lang="en-US" sz="600" smtClean="0"/>
            <a:t>Showing enthusiasm for teaching and towards learner</a:t>
          </a:r>
          <a:endParaRPr lang="en-US" sz="600"/>
        </a:p>
      </dgm:t>
    </dgm:pt>
    <dgm:pt modelId="{9F6AF59E-ED09-4701-A6F9-85BE24287EEB}" type="parTrans" cxnId="{7CC389C1-0D49-4147-98FE-5AE36726B0DC}">
      <dgm:prSet/>
      <dgm:spPr/>
      <dgm:t>
        <a:bodyPr/>
        <a:lstStyle/>
        <a:p>
          <a:endParaRPr lang="en-US"/>
        </a:p>
      </dgm:t>
    </dgm:pt>
    <dgm:pt modelId="{11C0C690-4085-446E-9AF7-7FD41B301669}" type="sibTrans" cxnId="{7CC389C1-0D49-4147-98FE-5AE36726B0DC}">
      <dgm:prSet/>
      <dgm:spPr/>
      <dgm:t>
        <a:bodyPr/>
        <a:lstStyle/>
        <a:p>
          <a:endParaRPr lang="en-US"/>
        </a:p>
      </dgm:t>
    </dgm:pt>
    <dgm:pt modelId="{637594A6-5C2F-4188-A26E-C6132D995E8E}">
      <dgm:prSet phldrT="[Text]" custT="1"/>
      <dgm:spPr/>
      <dgm:t>
        <a:bodyPr/>
        <a:lstStyle/>
        <a:p>
          <a:r>
            <a:rPr lang="en-US" sz="600" smtClean="0"/>
            <a:t>Applying principles of effective feedback</a:t>
          </a:r>
          <a:endParaRPr lang="en-US" sz="600"/>
        </a:p>
      </dgm:t>
    </dgm:pt>
    <dgm:pt modelId="{087853BC-CCD9-4347-B23F-1515543B4685}" type="parTrans" cxnId="{664D0AA6-A4F8-4193-88B9-5811ABC05CAD}">
      <dgm:prSet/>
      <dgm:spPr/>
      <dgm:t>
        <a:bodyPr/>
        <a:lstStyle/>
        <a:p>
          <a:endParaRPr lang="en-US"/>
        </a:p>
      </dgm:t>
    </dgm:pt>
    <dgm:pt modelId="{E3979230-D856-4AC0-91E3-ADCE603637FA}" type="sibTrans" cxnId="{664D0AA6-A4F8-4193-88B9-5811ABC05CAD}">
      <dgm:prSet/>
      <dgm:spPr/>
      <dgm:t>
        <a:bodyPr/>
        <a:lstStyle/>
        <a:p>
          <a:endParaRPr lang="en-US"/>
        </a:p>
      </dgm:t>
    </dgm:pt>
    <dgm:pt modelId="{94D5D98A-EE41-4A31-B5FF-6F1E0D610D63}">
      <dgm:prSet phldrT="[Text]" custT="1"/>
      <dgm:spPr/>
      <dgm:t>
        <a:bodyPr/>
        <a:lstStyle/>
        <a:p>
          <a:r>
            <a:rPr lang="en-US" sz="1400" smtClean="0"/>
            <a:t>Technical abilities</a:t>
          </a:r>
        </a:p>
        <a:p>
          <a:r>
            <a:rPr lang="en-US" sz="1000" smtClean="0"/>
            <a:t>(Doing the right things)</a:t>
          </a:r>
          <a:endParaRPr lang="en-US" sz="1600"/>
        </a:p>
      </dgm:t>
    </dgm:pt>
    <dgm:pt modelId="{56165665-7D96-4AFD-8539-FB11CA4FD61B}" type="parTrans" cxnId="{359784CF-44FF-4BDE-AEDE-04C6E421CBA1}">
      <dgm:prSet/>
      <dgm:spPr/>
      <dgm:t>
        <a:bodyPr/>
        <a:lstStyle/>
        <a:p>
          <a:endParaRPr lang="en-US"/>
        </a:p>
      </dgm:t>
    </dgm:pt>
    <dgm:pt modelId="{92EAEC3C-C6BD-4C11-AB1C-517864CC6D28}" type="sibTrans" cxnId="{359784CF-44FF-4BDE-AEDE-04C6E421CBA1}">
      <dgm:prSet/>
      <dgm:spPr/>
      <dgm:t>
        <a:bodyPr/>
        <a:lstStyle/>
        <a:p>
          <a:endParaRPr lang="en-US"/>
        </a:p>
      </dgm:t>
    </dgm:pt>
    <dgm:pt modelId="{ECE9FF7A-DAC6-4019-A588-AC8D13A04CD7}">
      <dgm:prSet phldrT="[Text]" custT="1"/>
      <dgm:spPr/>
      <dgm:t>
        <a:bodyPr/>
        <a:lstStyle/>
        <a:p>
          <a:r>
            <a:rPr lang="en-US" sz="700" smtClean="0"/>
            <a:t>Time-efficient teaching</a:t>
          </a:r>
          <a:endParaRPr lang="en-US" sz="700"/>
        </a:p>
      </dgm:t>
    </dgm:pt>
    <dgm:pt modelId="{C04EED42-34D7-43EF-A251-45B23E62BA38}" type="parTrans" cxnId="{CAEB45D3-9ECE-4F4B-AB07-F26FE248470E}">
      <dgm:prSet/>
      <dgm:spPr/>
      <dgm:t>
        <a:bodyPr/>
        <a:lstStyle/>
        <a:p>
          <a:endParaRPr lang="en-US"/>
        </a:p>
      </dgm:t>
    </dgm:pt>
    <dgm:pt modelId="{812A53ED-1740-4341-8461-9BBDA3FF4515}" type="sibTrans" cxnId="{CAEB45D3-9ECE-4F4B-AB07-F26FE248470E}">
      <dgm:prSet/>
      <dgm:spPr/>
      <dgm:t>
        <a:bodyPr/>
        <a:lstStyle/>
        <a:p>
          <a:endParaRPr lang="en-US"/>
        </a:p>
      </dgm:t>
    </dgm:pt>
    <dgm:pt modelId="{74CF9163-E699-4879-A652-6B45BFAF4F6D}">
      <dgm:prSet phldrT="[Text]" custT="1"/>
      <dgm:spPr/>
      <dgm:t>
        <a:bodyPr/>
        <a:lstStyle/>
        <a:p>
          <a:r>
            <a:rPr lang="en-US" sz="700" smtClean="0"/>
            <a:t>Providing feedback</a:t>
          </a:r>
          <a:endParaRPr lang="en-US" sz="700"/>
        </a:p>
      </dgm:t>
    </dgm:pt>
    <dgm:pt modelId="{F3A0CCF8-C572-4ED0-A903-42659ED74B72}" type="parTrans" cxnId="{F1F82C5B-ADDD-4BA2-9527-6310956D21D8}">
      <dgm:prSet/>
      <dgm:spPr/>
      <dgm:t>
        <a:bodyPr/>
        <a:lstStyle/>
        <a:p>
          <a:endParaRPr lang="en-US"/>
        </a:p>
      </dgm:t>
    </dgm:pt>
    <dgm:pt modelId="{C4B4D95A-C9CD-4FE9-A7B9-7A1E8011EF74}" type="sibTrans" cxnId="{F1F82C5B-ADDD-4BA2-9527-6310956D21D8}">
      <dgm:prSet/>
      <dgm:spPr/>
      <dgm:t>
        <a:bodyPr/>
        <a:lstStyle/>
        <a:p>
          <a:endParaRPr lang="en-US"/>
        </a:p>
      </dgm:t>
    </dgm:pt>
    <dgm:pt modelId="{01450860-3536-4EA4-864E-897364A3B544}">
      <dgm:prSet phldrT="[Text]" custT="1"/>
      <dgm:spPr/>
      <dgm:t>
        <a:bodyPr/>
        <a:lstStyle/>
        <a:p>
          <a:r>
            <a:rPr lang="en-US" sz="700" smtClean="0"/>
            <a:t>Inpatient / Outpatient teaching</a:t>
          </a:r>
          <a:endParaRPr lang="en-US" sz="700"/>
        </a:p>
      </dgm:t>
    </dgm:pt>
    <dgm:pt modelId="{646E554D-84E2-4639-8071-C7C3BD066516}" type="parTrans" cxnId="{86C7A445-FDD5-4C9C-A2AE-207817D660DE}">
      <dgm:prSet/>
      <dgm:spPr/>
      <dgm:t>
        <a:bodyPr/>
        <a:lstStyle/>
        <a:p>
          <a:endParaRPr lang="en-US"/>
        </a:p>
      </dgm:t>
    </dgm:pt>
    <dgm:pt modelId="{31FE3FAC-5F2A-4946-98EC-AED2694FBC18}" type="sibTrans" cxnId="{86C7A445-FDD5-4C9C-A2AE-207817D660DE}">
      <dgm:prSet/>
      <dgm:spPr/>
      <dgm:t>
        <a:bodyPr/>
        <a:lstStyle/>
        <a:p>
          <a:endParaRPr lang="en-US"/>
        </a:p>
      </dgm:t>
    </dgm:pt>
    <dgm:pt modelId="{0887CA96-8D81-4FB4-8338-BD0E3B84BC48}">
      <dgm:prSet phldrT="[Text]" custT="1"/>
      <dgm:spPr/>
      <dgm:t>
        <a:bodyPr/>
        <a:lstStyle/>
        <a:p>
          <a:r>
            <a:rPr lang="en-US" sz="700" smtClean="0"/>
            <a:t>Teaching at bedside</a:t>
          </a:r>
          <a:endParaRPr lang="en-US" sz="700"/>
        </a:p>
      </dgm:t>
    </dgm:pt>
    <dgm:pt modelId="{4F394EF3-3A2F-412C-A216-5032171C9AAC}" type="parTrans" cxnId="{3E5040B7-BF33-4F8C-9B0C-7EF101834D37}">
      <dgm:prSet/>
      <dgm:spPr/>
      <dgm:t>
        <a:bodyPr/>
        <a:lstStyle/>
        <a:p>
          <a:endParaRPr lang="en-US"/>
        </a:p>
      </dgm:t>
    </dgm:pt>
    <dgm:pt modelId="{6736EF9F-9FAA-4042-A1BA-C0DF467FF5C0}" type="sibTrans" cxnId="{3E5040B7-BF33-4F8C-9B0C-7EF101834D37}">
      <dgm:prSet/>
      <dgm:spPr/>
      <dgm:t>
        <a:bodyPr/>
        <a:lstStyle/>
        <a:p>
          <a:endParaRPr lang="en-US"/>
        </a:p>
      </dgm:t>
    </dgm:pt>
    <dgm:pt modelId="{D0B82961-E66D-4609-AE52-72F4E7B64ADE}">
      <dgm:prSet phldrT="[Text]" custT="1"/>
      <dgm:spPr/>
      <dgm:t>
        <a:bodyPr/>
        <a:lstStyle/>
        <a:p>
          <a:r>
            <a:rPr lang="en-US" sz="700" smtClean="0"/>
            <a:t>Work-based assessment of learners in clinical settings</a:t>
          </a:r>
          <a:endParaRPr lang="en-US" sz="700"/>
        </a:p>
      </dgm:t>
    </dgm:pt>
    <dgm:pt modelId="{A48BF47E-E040-4E9E-951A-A825E9A43B53}" type="parTrans" cxnId="{7D21BD25-6E16-49B9-8BA6-006C28A0EA4E}">
      <dgm:prSet/>
      <dgm:spPr/>
      <dgm:t>
        <a:bodyPr/>
        <a:lstStyle/>
        <a:p>
          <a:endParaRPr lang="en-US"/>
        </a:p>
      </dgm:t>
    </dgm:pt>
    <dgm:pt modelId="{F2FF246F-4A30-492E-9613-C254F71F52BE}" type="sibTrans" cxnId="{7D21BD25-6E16-49B9-8BA6-006C28A0EA4E}">
      <dgm:prSet/>
      <dgm:spPr/>
      <dgm:t>
        <a:bodyPr/>
        <a:lstStyle/>
        <a:p>
          <a:endParaRPr lang="en-US"/>
        </a:p>
      </dgm:t>
    </dgm:pt>
    <dgm:pt modelId="{F9CAA227-457E-4A1D-845F-FA5D5F800924}">
      <dgm:prSet phldrT="[Text]" custT="1"/>
      <dgm:spPr/>
      <dgm:t>
        <a:bodyPr/>
        <a:lstStyle/>
        <a:p>
          <a:r>
            <a:rPr lang="en-US" sz="600" smtClean="0"/>
            <a:t>Understanding learning principles</a:t>
          </a:r>
          <a:endParaRPr lang="en-US" sz="600"/>
        </a:p>
      </dgm:t>
    </dgm:pt>
    <dgm:pt modelId="{8F93E950-D820-4EA2-AC05-99A385BF8844}" type="parTrans" cxnId="{3266164E-7AAA-4EC9-A1E9-E47B56988FB7}">
      <dgm:prSet/>
      <dgm:spPr/>
      <dgm:t>
        <a:bodyPr/>
        <a:lstStyle/>
        <a:p>
          <a:endParaRPr lang="en-US"/>
        </a:p>
      </dgm:t>
    </dgm:pt>
    <dgm:pt modelId="{96550773-9D93-4830-BFFF-A8666363993D}" type="sibTrans" cxnId="{3266164E-7AAA-4EC9-A1E9-E47B56988FB7}">
      <dgm:prSet/>
      <dgm:spPr/>
      <dgm:t>
        <a:bodyPr/>
        <a:lstStyle/>
        <a:p>
          <a:endParaRPr lang="en-US"/>
        </a:p>
      </dgm:t>
    </dgm:pt>
    <dgm:pt modelId="{12A7B9BB-A167-4EA1-95D6-05B143966674}">
      <dgm:prSet phldrT="[Text]" custT="1"/>
      <dgm:spPr/>
      <dgm:t>
        <a:bodyPr/>
        <a:lstStyle/>
        <a:p>
          <a:r>
            <a:rPr lang="en-US" sz="600" smtClean="0"/>
            <a:t>Using appropriate teaching strategies for different level of learners</a:t>
          </a:r>
          <a:endParaRPr lang="en-US" sz="600"/>
        </a:p>
      </dgm:t>
    </dgm:pt>
    <dgm:pt modelId="{1FA09800-612F-4AEB-B8DA-50D1290CFAF3}" type="parTrans" cxnId="{C928A1EC-2195-4467-899D-5D7433E27E5B}">
      <dgm:prSet/>
      <dgm:spPr/>
      <dgm:t>
        <a:bodyPr/>
        <a:lstStyle/>
        <a:p>
          <a:endParaRPr lang="en-US"/>
        </a:p>
      </dgm:t>
    </dgm:pt>
    <dgm:pt modelId="{4248D190-A501-418B-A3AB-50C62152CEE8}" type="sibTrans" cxnId="{C928A1EC-2195-4467-899D-5D7433E27E5B}">
      <dgm:prSet/>
      <dgm:spPr/>
      <dgm:t>
        <a:bodyPr/>
        <a:lstStyle/>
        <a:p>
          <a:endParaRPr lang="en-US"/>
        </a:p>
      </dgm:t>
    </dgm:pt>
    <dgm:pt modelId="{2B8C8035-9423-4A8E-8C94-4452AE91626E}">
      <dgm:prSet phldrT="[Text]" custT="1"/>
      <dgm:spPr/>
      <dgm:t>
        <a:bodyPr/>
        <a:lstStyle/>
        <a:p>
          <a:r>
            <a:rPr lang="en-US" sz="600" smtClean="0"/>
            <a:t>Modelling good professional behaviour</a:t>
          </a:r>
          <a:endParaRPr lang="en-US" sz="600"/>
        </a:p>
      </dgm:t>
    </dgm:pt>
    <dgm:pt modelId="{74CC9200-AEE7-4B64-841B-3ADB79E8C823}" type="parTrans" cxnId="{3804279B-55BE-4BDE-870D-7BFE795DE13F}">
      <dgm:prSet/>
      <dgm:spPr/>
      <dgm:t>
        <a:bodyPr/>
        <a:lstStyle/>
        <a:p>
          <a:endParaRPr lang="en-US"/>
        </a:p>
      </dgm:t>
    </dgm:pt>
    <dgm:pt modelId="{3162CB8B-F8D6-4015-8049-5711559720C1}" type="sibTrans" cxnId="{3804279B-55BE-4BDE-870D-7BFE795DE13F}">
      <dgm:prSet/>
      <dgm:spPr/>
      <dgm:t>
        <a:bodyPr/>
        <a:lstStyle/>
        <a:p>
          <a:endParaRPr lang="en-US"/>
        </a:p>
      </dgm:t>
    </dgm:pt>
    <dgm:pt modelId="{EFDA0250-E0E8-4DFD-82AF-307054237040}">
      <dgm:prSet phldrT="[Text]" custT="1"/>
      <dgm:spPr/>
      <dgm:t>
        <a:bodyPr/>
        <a:lstStyle/>
        <a:p>
          <a:r>
            <a:rPr lang="en-US" sz="600" smtClean="0"/>
            <a:t>Grasping the unexpected teaching moment</a:t>
          </a:r>
          <a:endParaRPr lang="en-US" sz="600"/>
        </a:p>
      </dgm:t>
    </dgm:pt>
    <dgm:pt modelId="{498C6B8D-2878-4538-AA17-DE53E7E7F33F}" type="parTrans" cxnId="{D63B5CEC-5074-432D-8D1A-310D48210822}">
      <dgm:prSet/>
      <dgm:spPr/>
      <dgm:t>
        <a:bodyPr/>
        <a:lstStyle/>
        <a:p>
          <a:endParaRPr lang="en-US"/>
        </a:p>
      </dgm:t>
    </dgm:pt>
    <dgm:pt modelId="{4AC3F05C-525C-493F-BA43-0461C4917023}" type="sibTrans" cxnId="{D63B5CEC-5074-432D-8D1A-310D48210822}">
      <dgm:prSet/>
      <dgm:spPr/>
      <dgm:t>
        <a:bodyPr/>
        <a:lstStyle/>
        <a:p>
          <a:endParaRPr lang="en-US"/>
        </a:p>
      </dgm:t>
    </dgm:pt>
    <dgm:pt modelId="{F3CAF75C-1C3E-4016-90FD-AB976E81378F}">
      <dgm:prSet phldrT="[Text]" custT="1"/>
      <dgm:spPr/>
      <dgm:t>
        <a:bodyPr/>
        <a:lstStyle/>
        <a:p>
          <a:r>
            <a:rPr lang="en-US" sz="700" smtClean="0"/>
            <a:t>Mentoring and seeking mentoring</a:t>
          </a:r>
          <a:endParaRPr lang="en-US" sz="700"/>
        </a:p>
      </dgm:t>
    </dgm:pt>
    <dgm:pt modelId="{1339154E-256D-4DE0-892B-CD2BB4825FAF}" type="parTrans" cxnId="{B868527B-8306-4E13-90C4-B28B6C66EE1E}">
      <dgm:prSet/>
      <dgm:spPr/>
      <dgm:t>
        <a:bodyPr/>
        <a:lstStyle/>
        <a:p>
          <a:endParaRPr lang="en-US"/>
        </a:p>
      </dgm:t>
    </dgm:pt>
    <dgm:pt modelId="{86627A92-6056-42AF-825C-8C00546E2E44}" type="sibTrans" cxnId="{B868527B-8306-4E13-90C4-B28B6C66EE1E}">
      <dgm:prSet/>
      <dgm:spPr/>
      <dgm:t>
        <a:bodyPr/>
        <a:lstStyle/>
        <a:p>
          <a:endParaRPr lang="en-US"/>
        </a:p>
      </dgm:t>
    </dgm:pt>
    <dgm:pt modelId="{F5AA0C04-02F7-421C-A723-F5C291564530}">
      <dgm:prSet phldrT="[Text]" custT="1"/>
      <dgm:spPr/>
      <dgm:t>
        <a:bodyPr/>
        <a:lstStyle/>
        <a:p>
          <a:r>
            <a:rPr lang="en-US" sz="700" smtClean="0"/>
            <a:t>Engaging in educational scholarship</a:t>
          </a:r>
          <a:endParaRPr lang="en-US" sz="700"/>
        </a:p>
      </dgm:t>
    </dgm:pt>
    <dgm:pt modelId="{CD494E3D-3993-4CDB-A94C-2354026732EF}" type="parTrans" cxnId="{35A58947-84FC-4531-8619-EC0FAE1CD32A}">
      <dgm:prSet/>
      <dgm:spPr/>
      <dgm:t>
        <a:bodyPr/>
        <a:lstStyle/>
        <a:p>
          <a:endParaRPr lang="en-US"/>
        </a:p>
      </dgm:t>
    </dgm:pt>
    <dgm:pt modelId="{224323A0-2D4F-4D6C-911D-DE25BD0BC272}" type="sibTrans" cxnId="{35A58947-84FC-4531-8619-EC0FAE1CD32A}">
      <dgm:prSet/>
      <dgm:spPr/>
      <dgm:t>
        <a:bodyPr/>
        <a:lstStyle/>
        <a:p>
          <a:endParaRPr lang="en-US"/>
        </a:p>
      </dgm:t>
    </dgm:pt>
    <dgm:pt modelId="{BC3F5112-D2F7-4C0C-9A5C-042432263531}" type="pres">
      <dgm:prSet presAssocID="{A6D8DA64-471E-4834-B2D1-957D698A375E}" presName="Name0" presStyleCnt="0">
        <dgm:presLayoutVars>
          <dgm:chMax val="7"/>
          <dgm:dir/>
          <dgm:animLvl val="lvl"/>
          <dgm:resizeHandles val="exact"/>
        </dgm:presLayoutVars>
      </dgm:prSet>
      <dgm:spPr/>
      <dgm:t>
        <a:bodyPr/>
        <a:lstStyle/>
        <a:p>
          <a:endParaRPr lang="en-US"/>
        </a:p>
      </dgm:t>
    </dgm:pt>
    <dgm:pt modelId="{129FCFDB-E6F1-4740-8567-61CC5A49A21F}" type="pres">
      <dgm:prSet presAssocID="{1E05C721-2667-443E-95F1-CD0443B178D3}" presName="circle1" presStyleLbl="node1" presStyleIdx="0" presStyleCnt="3"/>
      <dgm:spPr/>
    </dgm:pt>
    <dgm:pt modelId="{0B93EB63-79D7-4B92-BC87-1349C6A22B06}" type="pres">
      <dgm:prSet presAssocID="{1E05C721-2667-443E-95F1-CD0443B178D3}" presName="space" presStyleCnt="0"/>
      <dgm:spPr/>
    </dgm:pt>
    <dgm:pt modelId="{72E9C484-F600-4EBC-8797-2FE112773AE2}" type="pres">
      <dgm:prSet presAssocID="{1E05C721-2667-443E-95F1-CD0443B178D3}" presName="rect1" presStyleLbl="alignAcc1" presStyleIdx="0" presStyleCnt="3"/>
      <dgm:spPr/>
      <dgm:t>
        <a:bodyPr/>
        <a:lstStyle/>
        <a:p>
          <a:endParaRPr lang="en-US"/>
        </a:p>
      </dgm:t>
    </dgm:pt>
    <dgm:pt modelId="{308EFA96-7F89-4D6E-A3F2-5DBFEF58C006}" type="pres">
      <dgm:prSet presAssocID="{0DABC2E7-EFCD-4022-A0DA-3BE97ABAFD3A}" presName="vertSpace2" presStyleLbl="node1" presStyleIdx="0" presStyleCnt="3"/>
      <dgm:spPr/>
    </dgm:pt>
    <dgm:pt modelId="{D3EB3CFB-1E46-4C6A-9D54-D141CC61D30C}" type="pres">
      <dgm:prSet presAssocID="{0DABC2E7-EFCD-4022-A0DA-3BE97ABAFD3A}" presName="circle2" presStyleLbl="node1" presStyleIdx="1" presStyleCnt="3"/>
      <dgm:spPr/>
    </dgm:pt>
    <dgm:pt modelId="{3D7683AE-11EB-4F35-94FD-FB20FA0E05E8}" type="pres">
      <dgm:prSet presAssocID="{0DABC2E7-EFCD-4022-A0DA-3BE97ABAFD3A}" presName="rect2" presStyleLbl="alignAcc1" presStyleIdx="1" presStyleCnt="3"/>
      <dgm:spPr/>
      <dgm:t>
        <a:bodyPr/>
        <a:lstStyle/>
        <a:p>
          <a:endParaRPr lang="en-US"/>
        </a:p>
      </dgm:t>
    </dgm:pt>
    <dgm:pt modelId="{0FECC808-D329-40BD-8F31-BC7C3A904DA8}" type="pres">
      <dgm:prSet presAssocID="{94D5D98A-EE41-4A31-B5FF-6F1E0D610D63}" presName="vertSpace3" presStyleLbl="node1" presStyleIdx="1" presStyleCnt="3"/>
      <dgm:spPr/>
    </dgm:pt>
    <dgm:pt modelId="{6802131A-7E6D-4ABC-83F1-3FA1997FA453}" type="pres">
      <dgm:prSet presAssocID="{94D5D98A-EE41-4A31-B5FF-6F1E0D610D63}" presName="circle3" presStyleLbl="node1" presStyleIdx="2" presStyleCnt="3"/>
      <dgm:spPr/>
      <dgm:t>
        <a:bodyPr/>
        <a:lstStyle/>
        <a:p>
          <a:endParaRPr lang="en-US"/>
        </a:p>
      </dgm:t>
    </dgm:pt>
    <dgm:pt modelId="{5A52482F-847D-4B40-8E0D-E7B18E37E685}" type="pres">
      <dgm:prSet presAssocID="{94D5D98A-EE41-4A31-B5FF-6F1E0D610D63}" presName="rect3" presStyleLbl="alignAcc1" presStyleIdx="2" presStyleCnt="3"/>
      <dgm:spPr/>
      <dgm:t>
        <a:bodyPr/>
        <a:lstStyle/>
        <a:p>
          <a:endParaRPr lang="en-US"/>
        </a:p>
      </dgm:t>
    </dgm:pt>
    <dgm:pt modelId="{2719D8C9-8E20-4762-81FF-BF261AC4350F}" type="pres">
      <dgm:prSet presAssocID="{1E05C721-2667-443E-95F1-CD0443B178D3}" presName="rect1ParTx" presStyleLbl="alignAcc1" presStyleIdx="2" presStyleCnt="3">
        <dgm:presLayoutVars>
          <dgm:chMax val="1"/>
          <dgm:bulletEnabled val="1"/>
        </dgm:presLayoutVars>
      </dgm:prSet>
      <dgm:spPr/>
      <dgm:t>
        <a:bodyPr/>
        <a:lstStyle/>
        <a:p>
          <a:endParaRPr lang="en-US"/>
        </a:p>
      </dgm:t>
    </dgm:pt>
    <dgm:pt modelId="{5E654905-4007-4548-914E-18A9F7452050}" type="pres">
      <dgm:prSet presAssocID="{1E05C721-2667-443E-95F1-CD0443B178D3}" presName="rect1ChTx" presStyleLbl="alignAcc1" presStyleIdx="2" presStyleCnt="3">
        <dgm:presLayoutVars>
          <dgm:bulletEnabled val="1"/>
        </dgm:presLayoutVars>
      </dgm:prSet>
      <dgm:spPr/>
      <dgm:t>
        <a:bodyPr/>
        <a:lstStyle/>
        <a:p>
          <a:endParaRPr lang="en-US"/>
        </a:p>
      </dgm:t>
    </dgm:pt>
    <dgm:pt modelId="{4CACC983-5AD1-4020-9906-CC744E2E999F}" type="pres">
      <dgm:prSet presAssocID="{0DABC2E7-EFCD-4022-A0DA-3BE97ABAFD3A}" presName="rect2ParTx" presStyleLbl="alignAcc1" presStyleIdx="2" presStyleCnt="3">
        <dgm:presLayoutVars>
          <dgm:chMax val="1"/>
          <dgm:bulletEnabled val="1"/>
        </dgm:presLayoutVars>
      </dgm:prSet>
      <dgm:spPr/>
      <dgm:t>
        <a:bodyPr/>
        <a:lstStyle/>
        <a:p>
          <a:endParaRPr lang="en-US"/>
        </a:p>
      </dgm:t>
    </dgm:pt>
    <dgm:pt modelId="{949A975A-295F-4E6C-A118-AE61B7B41CBF}" type="pres">
      <dgm:prSet presAssocID="{0DABC2E7-EFCD-4022-A0DA-3BE97ABAFD3A}" presName="rect2ChTx" presStyleLbl="alignAcc1" presStyleIdx="2" presStyleCnt="3">
        <dgm:presLayoutVars>
          <dgm:bulletEnabled val="1"/>
        </dgm:presLayoutVars>
      </dgm:prSet>
      <dgm:spPr/>
      <dgm:t>
        <a:bodyPr/>
        <a:lstStyle/>
        <a:p>
          <a:endParaRPr lang="en-US"/>
        </a:p>
      </dgm:t>
    </dgm:pt>
    <dgm:pt modelId="{61123D99-B723-4A95-8534-0E8DB9AF4025}" type="pres">
      <dgm:prSet presAssocID="{94D5D98A-EE41-4A31-B5FF-6F1E0D610D63}" presName="rect3ParTx" presStyleLbl="alignAcc1" presStyleIdx="2" presStyleCnt="3">
        <dgm:presLayoutVars>
          <dgm:chMax val="1"/>
          <dgm:bulletEnabled val="1"/>
        </dgm:presLayoutVars>
      </dgm:prSet>
      <dgm:spPr/>
      <dgm:t>
        <a:bodyPr/>
        <a:lstStyle/>
        <a:p>
          <a:endParaRPr lang="en-US"/>
        </a:p>
      </dgm:t>
    </dgm:pt>
    <dgm:pt modelId="{63A43808-7912-482F-A0AE-0195003947FD}" type="pres">
      <dgm:prSet presAssocID="{94D5D98A-EE41-4A31-B5FF-6F1E0D610D63}" presName="rect3ChTx" presStyleLbl="alignAcc1" presStyleIdx="2" presStyleCnt="3">
        <dgm:presLayoutVars>
          <dgm:bulletEnabled val="1"/>
        </dgm:presLayoutVars>
      </dgm:prSet>
      <dgm:spPr/>
      <dgm:t>
        <a:bodyPr/>
        <a:lstStyle/>
        <a:p>
          <a:endParaRPr lang="en-US"/>
        </a:p>
      </dgm:t>
    </dgm:pt>
  </dgm:ptLst>
  <dgm:cxnLst>
    <dgm:cxn modelId="{5E97BA0D-8F93-40A4-B3F1-87E5F97B87AD}" type="presOf" srcId="{01450860-3536-4EA4-864E-897364A3B544}" destId="{63A43808-7912-482F-A0AE-0195003947FD}" srcOrd="0" destOrd="1" presId="urn:microsoft.com/office/officeart/2005/8/layout/target3"/>
    <dgm:cxn modelId="{E12409E7-68B3-4746-978A-5F07E2F24697}" srcId="{1E05C721-2667-443E-95F1-CD0443B178D3}" destId="{82C847E1-AABA-4623-936D-E12457306B48}" srcOrd="1" destOrd="0" parTransId="{513EE0D8-6F20-4AA9-807B-FF977B8997FE}" sibTransId="{E4739EC5-3DA0-4349-98EB-A8FA9CBABFCE}"/>
    <dgm:cxn modelId="{71A97E14-3BE4-40E1-998A-D9979AF04CC0}" type="presOf" srcId="{2B8C8035-9423-4A8E-8C94-4452AE91626E}" destId="{949A975A-295F-4E6C-A118-AE61B7B41CBF}" srcOrd="0" destOrd="4" presId="urn:microsoft.com/office/officeart/2005/8/layout/target3"/>
    <dgm:cxn modelId="{EEE23281-CEEF-4B6E-BA59-115AABD69DDF}" type="presOf" srcId="{637594A6-5C2F-4188-A26E-C6132D995E8E}" destId="{949A975A-295F-4E6C-A118-AE61B7B41CBF}" srcOrd="0" destOrd="3" presId="urn:microsoft.com/office/officeart/2005/8/layout/target3"/>
    <dgm:cxn modelId="{B868527B-8306-4E13-90C4-B28B6C66EE1E}" srcId="{1E05C721-2667-443E-95F1-CD0443B178D3}" destId="{F3CAF75C-1C3E-4016-90FD-AB976E81378F}" srcOrd="2" destOrd="0" parTransId="{1339154E-256D-4DE0-892B-CD2BB4825FAF}" sibTransId="{86627A92-6056-42AF-825C-8C00546E2E44}"/>
    <dgm:cxn modelId="{86BF8E73-2D74-4283-8771-21026BE53839}" type="presOf" srcId="{82C847E1-AABA-4623-936D-E12457306B48}" destId="{5E654905-4007-4548-914E-18A9F7452050}" srcOrd="0" destOrd="1" presId="urn:microsoft.com/office/officeart/2005/8/layout/target3"/>
    <dgm:cxn modelId="{86C7A445-FDD5-4C9C-A2AE-207817D660DE}" srcId="{94D5D98A-EE41-4A31-B5FF-6F1E0D610D63}" destId="{01450860-3536-4EA4-864E-897364A3B544}" srcOrd="1" destOrd="0" parTransId="{646E554D-84E2-4639-8071-C7C3BD066516}" sibTransId="{31FE3FAC-5F2A-4946-98EC-AED2694FBC18}"/>
    <dgm:cxn modelId="{7CC389C1-0D49-4147-98FE-5AE36726B0DC}" srcId="{0DABC2E7-EFCD-4022-A0DA-3BE97ABAFD3A}" destId="{23DE3127-8824-42B8-9A15-52387ED31222}" srcOrd="0" destOrd="0" parTransId="{9F6AF59E-ED09-4701-A6F9-85BE24287EEB}" sibTransId="{11C0C690-4085-446E-9AF7-7FD41B301669}"/>
    <dgm:cxn modelId="{3DCD33CA-6CAA-47DA-BE53-A54FE9C57B3A}" type="presOf" srcId="{ECE9FF7A-DAC6-4019-A588-AC8D13A04CD7}" destId="{63A43808-7912-482F-A0AE-0195003947FD}" srcOrd="0" destOrd="0" presId="urn:microsoft.com/office/officeart/2005/8/layout/target3"/>
    <dgm:cxn modelId="{031B6FF2-26A0-437E-A2E0-7A7C5DFCD9BA}" type="presOf" srcId="{0DABC2E7-EFCD-4022-A0DA-3BE97ABAFD3A}" destId="{4CACC983-5AD1-4020-9906-CC744E2E999F}" srcOrd="1" destOrd="0" presId="urn:microsoft.com/office/officeart/2005/8/layout/target3"/>
    <dgm:cxn modelId="{4ED99E76-0A13-4D45-93D8-2AC97EC48B7E}" type="presOf" srcId="{0DABC2E7-EFCD-4022-A0DA-3BE97ABAFD3A}" destId="{3D7683AE-11EB-4F35-94FD-FB20FA0E05E8}" srcOrd="0" destOrd="0" presId="urn:microsoft.com/office/officeart/2005/8/layout/target3"/>
    <dgm:cxn modelId="{0CCB570C-81D9-49D8-BF7B-F88B8A221348}" type="presOf" srcId="{23DE3127-8824-42B8-9A15-52387ED31222}" destId="{949A975A-295F-4E6C-A118-AE61B7B41CBF}" srcOrd="0" destOrd="0" presId="urn:microsoft.com/office/officeart/2005/8/layout/target3"/>
    <dgm:cxn modelId="{35A58947-84FC-4531-8619-EC0FAE1CD32A}" srcId="{1E05C721-2667-443E-95F1-CD0443B178D3}" destId="{F5AA0C04-02F7-421C-A723-F5C291564530}" srcOrd="3" destOrd="0" parTransId="{CD494E3D-3993-4CDB-A94C-2354026732EF}" sibTransId="{224323A0-2D4F-4D6C-911D-DE25BD0BC272}"/>
    <dgm:cxn modelId="{F1F82C5B-ADDD-4BA2-9527-6310956D21D8}" srcId="{94D5D98A-EE41-4A31-B5FF-6F1E0D610D63}" destId="{74CF9163-E699-4879-A652-6B45BFAF4F6D}" srcOrd="4" destOrd="0" parTransId="{F3A0CCF8-C572-4ED0-A903-42659ED74B72}" sibTransId="{C4B4D95A-C9CD-4FE9-A7B9-7A1E8011EF74}"/>
    <dgm:cxn modelId="{641F9007-F7F0-4604-915A-C83A2F27175F}" type="presOf" srcId="{F9CAA227-457E-4A1D-845F-FA5D5F800924}" destId="{949A975A-295F-4E6C-A118-AE61B7B41CBF}" srcOrd="0" destOrd="1" presId="urn:microsoft.com/office/officeart/2005/8/layout/target3"/>
    <dgm:cxn modelId="{810E61BA-1C8E-4ADE-A9E5-91CD4AB4B19F}" type="presOf" srcId="{94D5D98A-EE41-4A31-B5FF-6F1E0D610D63}" destId="{61123D99-B723-4A95-8534-0E8DB9AF4025}" srcOrd="1" destOrd="0" presId="urn:microsoft.com/office/officeart/2005/8/layout/target3"/>
    <dgm:cxn modelId="{D63B5CEC-5074-432D-8D1A-310D48210822}" srcId="{0DABC2E7-EFCD-4022-A0DA-3BE97ABAFD3A}" destId="{EFDA0250-E0E8-4DFD-82AF-307054237040}" srcOrd="5" destOrd="0" parTransId="{498C6B8D-2878-4538-AA17-DE53E7E7F33F}" sibTransId="{4AC3F05C-525C-493F-BA43-0461C4917023}"/>
    <dgm:cxn modelId="{3E5040B7-BF33-4F8C-9B0C-7EF101834D37}" srcId="{94D5D98A-EE41-4A31-B5FF-6F1E0D610D63}" destId="{0887CA96-8D81-4FB4-8338-BD0E3B84BC48}" srcOrd="2" destOrd="0" parTransId="{4F394EF3-3A2F-412C-A216-5032171C9AAC}" sibTransId="{6736EF9F-9FAA-4042-A1BA-C0DF467FF5C0}"/>
    <dgm:cxn modelId="{9CCCDFA2-8A03-44F2-8178-6DBAAAE7767C}" srcId="{A6D8DA64-471E-4834-B2D1-957D698A375E}" destId="{1E05C721-2667-443E-95F1-CD0443B178D3}" srcOrd="0" destOrd="0" parTransId="{96F7D8DE-34BD-4C14-9563-B81FB46ECDF1}" sibTransId="{9B248ADE-B1DA-428F-8163-EA8DF3A37A7B}"/>
    <dgm:cxn modelId="{1C855D29-DD9C-44AC-917F-45C2A6DAE09E}" type="presOf" srcId="{94D5D98A-EE41-4A31-B5FF-6F1E0D610D63}" destId="{5A52482F-847D-4B40-8E0D-E7B18E37E685}" srcOrd="0" destOrd="0" presId="urn:microsoft.com/office/officeart/2005/8/layout/target3"/>
    <dgm:cxn modelId="{F4FFC7C9-0A16-46AB-8D5E-C75C40ADCD86}" type="presOf" srcId="{0887CA96-8D81-4FB4-8338-BD0E3B84BC48}" destId="{63A43808-7912-482F-A0AE-0195003947FD}" srcOrd="0" destOrd="2" presId="urn:microsoft.com/office/officeart/2005/8/layout/target3"/>
    <dgm:cxn modelId="{3583B42B-8CD5-4ABC-ABD6-2A5C72AB5B25}" type="presOf" srcId="{74CF9163-E699-4879-A652-6B45BFAF4F6D}" destId="{63A43808-7912-482F-A0AE-0195003947FD}" srcOrd="0" destOrd="4" presId="urn:microsoft.com/office/officeart/2005/8/layout/target3"/>
    <dgm:cxn modelId="{01E736E3-3B4E-485E-BE99-45EE32EAE3CF}" type="presOf" srcId="{1E05C721-2667-443E-95F1-CD0443B178D3}" destId="{72E9C484-F600-4EBC-8797-2FE112773AE2}" srcOrd="0" destOrd="0" presId="urn:microsoft.com/office/officeart/2005/8/layout/target3"/>
    <dgm:cxn modelId="{3C4A55CB-6E7A-4837-8C78-9AA967AD74A7}" type="presOf" srcId="{F3CAF75C-1C3E-4016-90FD-AB976E81378F}" destId="{5E654905-4007-4548-914E-18A9F7452050}" srcOrd="0" destOrd="2" presId="urn:microsoft.com/office/officeart/2005/8/layout/target3"/>
    <dgm:cxn modelId="{7D21BD25-6E16-49B9-8BA6-006C28A0EA4E}" srcId="{94D5D98A-EE41-4A31-B5FF-6F1E0D610D63}" destId="{D0B82961-E66D-4609-AE52-72F4E7B64ADE}" srcOrd="3" destOrd="0" parTransId="{A48BF47E-E040-4E9E-951A-A825E9A43B53}" sibTransId="{F2FF246F-4A30-492E-9613-C254F71F52BE}"/>
    <dgm:cxn modelId="{359784CF-44FF-4BDE-AEDE-04C6E421CBA1}" srcId="{A6D8DA64-471E-4834-B2D1-957D698A375E}" destId="{94D5D98A-EE41-4A31-B5FF-6F1E0D610D63}" srcOrd="2" destOrd="0" parTransId="{56165665-7D96-4AFD-8539-FB11CA4FD61B}" sibTransId="{92EAEC3C-C6BD-4C11-AB1C-517864CC6D28}"/>
    <dgm:cxn modelId="{81AC99E6-5868-47B9-AC39-B7EDFCCD5ED6}" type="presOf" srcId="{A6D8DA64-471E-4834-B2D1-957D698A375E}" destId="{BC3F5112-D2F7-4C0C-9A5C-042432263531}" srcOrd="0" destOrd="0" presId="urn:microsoft.com/office/officeart/2005/8/layout/target3"/>
    <dgm:cxn modelId="{F047BF83-09A8-4DDC-AEFD-0FF9801E6EE8}" type="presOf" srcId="{C92D3E33-8B9D-4E3C-8F6A-A0CA88AD2B45}" destId="{5E654905-4007-4548-914E-18A9F7452050}" srcOrd="0" destOrd="0" presId="urn:microsoft.com/office/officeart/2005/8/layout/target3"/>
    <dgm:cxn modelId="{3266164E-7AAA-4EC9-A1E9-E47B56988FB7}" srcId="{0DABC2E7-EFCD-4022-A0DA-3BE97ABAFD3A}" destId="{F9CAA227-457E-4A1D-845F-FA5D5F800924}" srcOrd="1" destOrd="0" parTransId="{8F93E950-D820-4EA2-AC05-99A385BF8844}" sibTransId="{96550773-9D93-4830-BFFF-A8666363993D}"/>
    <dgm:cxn modelId="{CAEB45D3-9ECE-4F4B-AB07-F26FE248470E}" srcId="{94D5D98A-EE41-4A31-B5FF-6F1E0D610D63}" destId="{ECE9FF7A-DAC6-4019-A588-AC8D13A04CD7}" srcOrd="0" destOrd="0" parTransId="{C04EED42-34D7-43EF-A251-45B23E62BA38}" sibTransId="{812A53ED-1740-4341-8461-9BBDA3FF4515}"/>
    <dgm:cxn modelId="{C928A1EC-2195-4467-899D-5D7433E27E5B}" srcId="{0DABC2E7-EFCD-4022-A0DA-3BE97ABAFD3A}" destId="{12A7B9BB-A167-4EA1-95D6-05B143966674}" srcOrd="2" destOrd="0" parTransId="{1FA09800-612F-4AEB-B8DA-50D1290CFAF3}" sibTransId="{4248D190-A501-418B-A3AB-50C62152CEE8}"/>
    <dgm:cxn modelId="{476484FC-44C6-43C9-B842-F0553879CE68}" type="presOf" srcId="{F5AA0C04-02F7-421C-A723-F5C291564530}" destId="{5E654905-4007-4548-914E-18A9F7452050}" srcOrd="0" destOrd="3" presId="urn:microsoft.com/office/officeart/2005/8/layout/target3"/>
    <dgm:cxn modelId="{3804279B-55BE-4BDE-870D-7BFE795DE13F}" srcId="{0DABC2E7-EFCD-4022-A0DA-3BE97ABAFD3A}" destId="{2B8C8035-9423-4A8E-8C94-4452AE91626E}" srcOrd="4" destOrd="0" parTransId="{74CC9200-AEE7-4B64-841B-3ADB79E8C823}" sibTransId="{3162CB8B-F8D6-4015-8049-5711559720C1}"/>
    <dgm:cxn modelId="{5CFB0926-F1E7-4A8B-937A-D3A0ED80298E}" type="presOf" srcId="{12A7B9BB-A167-4EA1-95D6-05B143966674}" destId="{949A975A-295F-4E6C-A118-AE61B7B41CBF}" srcOrd="0" destOrd="2" presId="urn:microsoft.com/office/officeart/2005/8/layout/target3"/>
    <dgm:cxn modelId="{D687A3B3-B697-4431-BDC3-9D7317E7D456}" srcId="{A6D8DA64-471E-4834-B2D1-957D698A375E}" destId="{0DABC2E7-EFCD-4022-A0DA-3BE97ABAFD3A}" srcOrd="1" destOrd="0" parTransId="{A2D65EC5-11F3-4B24-A043-8ADB77D6DF98}" sibTransId="{F55CCA83-C656-4EA8-B702-1E033C3E56D4}"/>
    <dgm:cxn modelId="{7B388829-27C2-4372-9405-CABA28FE6108}" srcId="{1E05C721-2667-443E-95F1-CD0443B178D3}" destId="{C92D3E33-8B9D-4E3C-8F6A-A0CA88AD2B45}" srcOrd="0" destOrd="0" parTransId="{87B7BBC2-B713-49E9-82BD-048BDDA28DF7}" sibTransId="{C811F2C8-774F-4C08-9001-FE0DD2E78F57}"/>
    <dgm:cxn modelId="{A331368A-E132-49D1-ADB0-92225842682A}" type="presOf" srcId="{EFDA0250-E0E8-4DFD-82AF-307054237040}" destId="{949A975A-295F-4E6C-A118-AE61B7B41CBF}" srcOrd="0" destOrd="5" presId="urn:microsoft.com/office/officeart/2005/8/layout/target3"/>
    <dgm:cxn modelId="{7C121551-4B23-49F4-8108-042441BFB6E3}" type="presOf" srcId="{D0B82961-E66D-4609-AE52-72F4E7B64ADE}" destId="{63A43808-7912-482F-A0AE-0195003947FD}" srcOrd="0" destOrd="3" presId="urn:microsoft.com/office/officeart/2005/8/layout/target3"/>
    <dgm:cxn modelId="{A02CA8BA-004E-4853-AFCF-A2F2C15815DD}" type="presOf" srcId="{1E05C721-2667-443E-95F1-CD0443B178D3}" destId="{2719D8C9-8E20-4762-81FF-BF261AC4350F}" srcOrd="1" destOrd="0" presId="urn:microsoft.com/office/officeart/2005/8/layout/target3"/>
    <dgm:cxn modelId="{664D0AA6-A4F8-4193-88B9-5811ABC05CAD}" srcId="{0DABC2E7-EFCD-4022-A0DA-3BE97ABAFD3A}" destId="{637594A6-5C2F-4188-A26E-C6132D995E8E}" srcOrd="3" destOrd="0" parTransId="{087853BC-CCD9-4347-B23F-1515543B4685}" sibTransId="{E3979230-D856-4AC0-91E3-ADCE603637FA}"/>
    <dgm:cxn modelId="{579EBBFF-2268-4A2C-ABBE-D10AB94CDABC}" type="presParOf" srcId="{BC3F5112-D2F7-4C0C-9A5C-042432263531}" destId="{129FCFDB-E6F1-4740-8567-61CC5A49A21F}" srcOrd="0" destOrd="0" presId="urn:microsoft.com/office/officeart/2005/8/layout/target3"/>
    <dgm:cxn modelId="{9438EA28-7D57-49D4-B1C9-906463D2D25D}" type="presParOf" srcId="{BC3F5112-D2F7-4C0C-9A5C-042432263531}" destId="{0B93EB63-79D7-4B92-BC87-1349C6A22B06}" srcOrd="1" destOrd="0" presId="urn:microsoft.com/office/officeart/2005/8/layout/target3"/>
    <dgm:cxn modelId="{C545F47B-38CE-4FC3-AE36-F87026C8E997}" type="presParOf" srcId="{BC3F5112-D2F7-4C0C-9A5C-042432263531}" destId="{72E9C484-F600-4EBC-8797-2FE112773AE2}" srcOrd="2" destOrd="0" presId="urn:microsoft.com/office/officeart/2005/8/layout/target3"/>
    <dgm:cxn modelId="{47D766BD-E35A-44E0-89C6-584D0ED477C5}" type="presParOf" srcId="{BC3F5112-D2F7-4C0C-9A5C-042432263531}" destId="{308EFA96-7F89-4D6E-A3F2-5DBFEF58C006}" srcOrd="3" destOrd="0" presId="urn:microsoft.com/office/officeart/2005/8/layout/target3"/>
    <dgm:cxn modelId="{8DD54940-6FAA-4746-A917-80D54DAD98A2}" type="presParOf" srcId="{BC3F5112-D2F7-4C0C-9A5C-042432263531}" destId="{D3EB3CFB-1E46-4C6A-9D54-D141CC61D30C}" srcOrd="4" destOrd="0" presId="urn:microsoft.com/office/officeart/2005/8/layout/target3"/>
    <dgm:cxn modelId="{BD93B5C8-035F-47E5-B17E-8576554DF64D}" type="presParOf" srcId="{BC3F5112-D2F7-4C0C-9A5C-042432263531}" destId="{3D7683AE-11EB-4F35-94FD-FB20FA0E05E8}" srcOrd="5" destOrd="0" presId="urn:microsoft.com/office/officeart/2005/8/layout/target3"/>
    <dgm:cxn modelId="{8CB70679-1816-46A4-8C3B-6B256CF22862}" type="presParOf" srcId="{BC3F5112-D2F7-4C0C-9A5C-042432263531}" destId="{0FECC808-D329-40BD-8F31-BC7C3A904DA8}" srcOrd="6" destOrd="0" presId="urn:microsoft.com/office/officeart/2005/8/layout/target3"/>
    <dgm:cxn modelId="{E9951A59-3065-4BBA-9638-44AB2A6C1E96}" type="presParOf" srcId="{BC3F5112-D2F7-4C0C-9A5C-042432263531}" destId="{6802131A-7E6D-4ABC-83F1-3FA1997FA453}" srcOrd="7" destOrd="0" presId="urn:microsoft.com/office/officeart/2005/8/layout/target3"/>
    <dgm:cxn modelId="{CD6B7FF6-EFBB-4A95-9D4C-F2E038CBB752}" type="presParOf" srcId="{BC3F5112-D2F7-4C0C-9A5C-042432263531}" destId="{5A52482F-847D-4B40-8E0D-E7B18E37E685}" srcOrd="8" destOrd="0" presId="urn:microsoft.com/office/officeart/2005/8/layout/target3"/>
    <dgm:cxn modelId="{55C94E4F-0F43-4640-A7FD-EB01E0C9F09A}" type="presParOf" srcId="{BC3F5112-D2F7-4C0C-9A5C-042432263531}" destId="{2719D8C9-8E20-4762-81FF-BF261AC4350F}" srcOrd="9" destOrd="0" presId="urn:microsoft.com/office/officeart/2005/8/layout/target3"/>
    <dgm:cxn modelId="{46940310-7F06-4F1B-BA96-79BB2897D343}" type="presParOf" srcId="{BC3F5112-D2F7-4C0C-9A5C-042432263531}" destId="{5E654905-4007-4548-914E-18A9F7452050}" srcOrd="10" destOrd="0" presId="urn:microsoft.com/office/officeart/2005/8/layout/target3"/>
    <dgm:cxn modelId="{DF63EF04-3942-43B1-AE20-11191C5233AF}" type="presParOf" srcId="{BC3F5112-D2F7-4C0C-9A5C-042432263531}" destId="{4CACC983-5AD1-4020-9906-CC744E2E999F}" srcOrd="11" destOrd="0" presId="urn:microsoft.com/office/officeart/2005/8/layout/target3"/>
    <dgm:cxn modelId="{E4069903-EE25-4635-8CB1-AC35F5044074}" type="presParOf" srcId="{BC3F5112-D2F7-4C0C-9A5C-042432263531}" destId="{949A975A-295F-4E6C-A118-AE61B7B41CBF}" srcOrd="12" destOrd="0" presId="urn:microsoft.com/office/officeart/2005/8/layout/target3"/>
    <dgm:cxn modelId="{844F6FA6-92BA-4D5C-B42F-BEF19088BEF9}" type="presParOf" srcId="{BC3F5112-D2F7-4C0C-9A5C-042432263531}" destId="{61123D99-B723-4A95-8534-0E8DB9AF4025}" srcOrd="13" destOrd="0" presId="urn:microsoft.com/office/officeart/2005/8/layout/target3"/>
    <dgm:cxn modelId="{527CB21D-E1D3-4B78-8ECF-9C755FB01106}" type="presParOf" srcId="{BC3F5112-D2F7-4C0C-9A5C-042432263531}" destId="{63A43808-7912-482F-A0AE-0195003947FD}" srcOrd="14" destOrd="0" presId="urn:microsoft.com/office/officeart/2005/8/layout/targe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9FCFDB-E6F1-4740-8567-61CC5A49A21F}">
      <dsp:nvSpPr>
        <dsp:cNvPr id="0" name=""/>
        <dsp:cNvSpPr/>
      </dsp:nvSpPr>
      <dsp:spPr>
        <a:xfrm>
          <a:off x="0" y="0"/>
          <a:ext cx="2600960" cy="2600960"/>
        </a:xfrm>
        <a:prstGeom prst="pie">
          <a:avLst>
            <a:gd name="adj1" fmla="val 5400000"/>
            <a:gd name="adj2" fmla="val 162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2E9C484-F600-4EBC-8797-2FE112773AE2}">
      <dsp:nvSpPr>
        <dsp:cNvPr id="0" name=""/>
        <dsp:cNvSpPr/>
      </dsp:nvSpPr>
      <dsp:spPr>
        <a:xfrm>
          <a:off x="1300480" y="0"/>
          <a:ext cx="4643120" cy="2600960"/>
        </a:xfrm>
        <a:prstGeom prst="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smtClean="0"/>
            <a:t>Professionalism</a:t>
          </a:r>
        </a:p>
        <a:p>
          <a:pPr lvl="0" algn="ctr" defTabSz="622300">
            <a:lnSpc>
              <a:spcPct val="90000"/>
            </a:lnSpc>
            <a:spcBef>
              <a:spcPct val="0"/>
            </a:spcBef>
            <a:spcAft>
              <a:spcPct val="35000"/>
            </a:spcAft>
          </a:pPr>
          <a:r>
            <a:rPr lang="en-US" sz="1000" kern="1200" smtClean="0"/>
            <a:t>(The right person doing it)</a:t>
          </a:r>
          <a:endParaRPr lang="en-US" sz="1000" kern="1200"/>
        </a:p>
      </dsp:txBody>
      <dsp:txXfrm>
        <a:off x="1300480" y="0"/>
        <a:ext cx="2321560" cy="780289"/>
      </dsp:txXfrm>
    </dsp:sp>
    <dsp:sp modelId="{D3EB3CFB-1E46-4C6A-9D54-D141CC61D30C}">
      <dsp:nvSpPr>
        <dsp:cNvPr id="0" name=""/>
        <dsp:cNvSpPr/>
      </dsp:nvSpPr>
      <dsp:spPr>
        <a:xfrm>
          <a:off x="455168" y="780289"/>
          <a:ext cx="1690622" cy="1690622"/>
        </a:xfrm>
        <a:prstGeom prst="pie">
          <a:avLst>
            <a:gd name="adj1" fmla="val 5400000"/>
            <a:gd name="adj2" fmla="val 1620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D7683AE-11EB-4F35-94FD-FB20FA0E05E8}">
      <dsp:nvSpPr>
        <dsp:cNvPr id="0" name=""/>
        <dsp:cNvSpPr/>
      </dsp:nvSpPr>
      <dsp:spPr>
        <a:xfrm>
          <a:off x="1300480" y="780289"/>
          <a:ext cx="4643120" cy="1690622"/>
        </a:xfrm>
        <a:prstGeom prst="rect">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smtClean="0"/>
            <a:t>Approach to teaching</a:t>
          </a:r>
        </a:p>
        <a:p>
          <a:pPr lvl="0" algn="ctr" defTabSz="622300">
            <a:lnSpc>
              <a:spcPct val="90000"/>
            </a:lnSpc>
            <a:spcBef>
              <a:spcPct val="0"/>
            </a:spcBef>
            <a:spcAft>
              <a:spcPct val="35000"/>
            </a:spcAft>
          </a:pPr>
          <a:r>
            <a:rPr lang="en-US" sz="1000" kern="1200" smtClean="0"/>
            <a:t>(Doing the things right)</a:t>
          </a:r>
          <a:endParaRPr lang="en-US" sz="1400" kern="1200"/>
        </a:p>
      </dsp:txBody>
      <dsp:txXfrm>
        <a:off x="1300480" y="780289"/>
        <a:ext cx="2321560" cy="780287"/>
      </dsp:txXfrm>
    </dsp:sp>
    <dsp:sp modelId="{6802131A-7E6D-4ABC-83F1-3FA1997FA453}">
      <dsp:nvSpPr>
        <dsp:cNvPr id="0" name=""/>
        <dsp:cNvSpPr/>
      </dsp:nvSpPr>
      <dsp:spPr>
        <a:xfrm>
          <a:off x="910336" y="1560576"/>
          <a:ext cx="780287" cy="780287"/>
        </a:xfrm>
        <a:prstGeom prst="pie">
          <a:avLst>
            <a:gd name="adj1" fmla="val 5400000"/>
            <a:gd name="adj2" fmla="val 1620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A52482F-847D-4B40-8E0D-E7B18E37E685}">
      <dsp:nvSpPr>
        <dsp:cNvPr id="0" name=""/>
        <dsp:cNvSpPr/>
      </dsp:nvSpPr>
      <dsp:spPr>
        <a:xfrm>
          <a:off x="1300480" y="1560576"/>
          <a:ext cx="4643120" cy="780287"/>
        </a:xfrm>
        <a:prstGeom prst="rect">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smtClean="0"/>
            <a:t>Technical abilities</a:t>
          </a:r>
        </a:p>
        <a:p>
          <a:pPr lvl="0" algn="ctr" defTabSz="622300">
            <a:lnSpc>
              <a:spcPct val="90000"/>
            </a:lnSpc>
            <a:spcBef>
              <a:spcPct val="0"/>
            </a:spcBef>
            <a:spcAft>
              <a:spcPct val="35000"/>
            </a:spcAft>
          </a:pPr>
          <a:r>
            <a:rPr lang="en-US" sz="1000" kern="1200" smtClean="0"/>
            <a:t>(Doing the right things)</a:t>
          </a:r>
          <a:endParaRPr lang="en-US" sz="1600" kern="1200"/>
        </a:p>
      </dsp:txBody>
      <dsp:txXfrm>
        <a:off x="1300480" y="1560576"/>
        <a:ext cx="2321560" cy="780287"/>
      </dsp:txXfrm>
    </dsp:sp>
    <dsp:sp modelId="{5E654905-4007-4548-914E-18A9F7452050}">
      <dsp:nvSpPr>
        <dsp:cNvPr id="0" name=""/>
        <dsp:cNvSpPr/>
      </dsp:nvSpPr>
      <dsp:spPr>
        <a:xfrm>
          <a:off x="3622040" y="0"/>
          <a:ext cx="2321560" cy="780289"/>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311150">
            <a:lnSpc>
              <a:spcPct val="90000"/>
            </a:lnSpc>
            <a:spcBef>
              <a:spcPct val="0"/>
            </a:spcBef>
            <a:spcAft>
              <a:spcPct val="15000"/>
            </a:spcAft>
            <a:buChar char="••"/>
          </a:pPr>
          <a:r>
            <a:rPr lang="en-US" sz="700" kern="1200" smtClean="0"/>
            <a:t>Soliciting feedback on teaching</a:t>
          </a:r>
          <a:endParaRPr lang="en-US" sz="700" kern="1200"/>
        </a:p>
        <a:p>
          <a:pPr marL="57150" lvl="1" indent="-57150" algn="l" defTabSz="311150">
            <a:lnSpc>
              <a:spcPct val="90000"/>
            </a:lnSpc>
            <a:spcBef>
              <a:spcPct val="0"/>
            </a:spcBef>
            <a:spcAft>
              <a:spcPct val="15000"/>
            </a:spcAft>
            <a:buChar char="••"/>
          </a:pPr>
          <a:r>
            <a:rPr lang="en-US" sz="700" kern="1200" smtClean="0"/>
            <a:t>Self-reflection on teaching strengths and weaknessess</a:t>
          </a:r>
          <a:endParaRPr lang="en-US" sz="700" kern="1200"/>
        </a:p>
        <a:p>
          <a:pPr marL="57150" lvl="1" indent="-57150" algn="l" defTabSz="311150">
            <a:lnSpc>
              <a:spcPct val="90000"/>
            </a:lnSpc>
            <a:spcBef>
              <a:spcPct val="0"/>
            </a:spcBef>
            <a:spcAft>
              <a:spcPct val="15000"/>
            </a:spcAft>
            <a:buChar char="••"/>
          </a:pPr>
          <a:r>
            <a:rPr lang="en-US" sz="700" kern="1200" smtClean="0"/>
            <a:t>Mentoring and seeking mentoring</a:t>
          </a:r>
          <a:endParaRPr lang="en-US" sz="700" kern="1200"/>
        </a:p>
        <a:p>
          <a:pPr marL="57150" lvl="1" indent="-57150" algn="l" defTabSz="311150">
            <a:lnSpc>
              <a:spcPct val="90000"/>
            </a:lnSpc>
            <a:spcBef>
              <a:spcPct val="0"/>
            </a:spcBef>
            <a:spcAft>
              <a:spcPct val="15000"/>
            </a:spcAft>
            <a:buChar char="••"/>
          </a:pPr>
          <a:r>
            <a:rPr lang="en-US" sz="700" kern="1200" smtClean="0"/>
            <a:t>Engaging in educational scholarship</a:t>
          </a:r>
          <a:endParaRPr lang="en-US" sz="700" kern="1200"/>
        </a:p>
      </dsp:txBody>
      <dsp:txXfrm>
        <a:off x="3622040" y="0"/>
        <a:ext cx="2321560" cy="780289"/>
      </dsp:txXfrm>
    </dsp:sp>
    <dsp:sp modelId="{949A975A-295F-4E6C-A118-AE61B7B41CBF}">
      <dsp:nvSpPr>
        <dsp:cNvPr id="0" name=""/>
        <dsp:cNvSpPr/>
      </dsp:nvSpPr>
      <dsp:spPr>
        <a:xfrm>
          <a:off x="3622040" y="780289"/>
          <a:ext cx="2321560" cy="780287"/>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266700">
            <a:lnSpc>
              <a:spcPct val="90000"/>
            </a:lnSpc>
            <a:spcBef>
              <a:spcPct val="0"/>
            </a:spcBef>
            <a:spcAft>
              <a:spcPct val="15000"/>
            </a:spcAft>
            <a:buChar char="••"/>
          </a:pPr>
          <a:r>
            <a:rPr lang="en-US" sz="600" kern="1200" smtClean="0"/>
            <a:t>Showing enthusiasm for teaching and towards learner</a:t>
          </a:r>
          <a:endParaRPr lang="en-US" sz="600" kern="1200"/>
        </a:p>
        <a:p>
          <a:pPr marL="57150" lvl="1" indent="-57150" algn="l" defTabSz="266700">
            <a:lnSpc>
              <a:spcPct val="90000"/>
            </a:lnSpc>
            <a:spcBef>
              <a:spcPct val="0"/>
            </a:spcBef>
            <a:spcAft>
              <a:spcPct val="15000"/>
            </a:spcAft>
            <a:buChar char="••"/>
          </a:pPr>
          <a:r>
            <a:rPr lang="en-US" sz="600" kern="1200" smtClean="0"/>
            <a:t>Understanding learning principles</a:t>
          </a:r>
          <a:endParaRPr lang="en-US" sz="600" kern="1200"/>
        </a:p>
        <a:p>
          <a:pPr marL="57150" lvl="1" indent="-57150" algn="l" defTabSz="266700">
            <a:lnSpc>
              <a:spcPct val="90000"/>
            </a:lnSpc>
            <a:spcBef>
              <a:spcPct val="0"/>
            </a:spcBef>
            <a:spcAft>
              <a:spcPct val="15000"/>
            </a:spcAft>
            <a:buChar char="••"/>
          </a:pPr>
          <a:r>
            <a:rPr lang="en-US" sz="600" kern="1200" smtClean="0"/>
            <a:t>Using appropriate teaching strategies for different level of learners</a:t>
          </a:r>
          <a:endParaRPr lang="en-US" sz="600" kern="1200"/>
        </a:p>
        <a:p>
          <a:pPr marL="57150" lvl="1" indent="-57150" algn="l" defTabSz="266700">
            <a:lnSpc>
              <a:spcPct val="90000"/>
            </a:lnSpc>
            <a:spcBef>
              <a:spcPct val="0"/>
            </a:spcBef>
            <a:spcAft>
              <a:spcPct val="15000"/>
            </a:spcAft>
            <a:buChar char="••"/>
          </a:pPr>
          <a:r>
            <a:rPr lang="en-US" sz="600" kern="1200" smtClean="0"/>
            <a:t>Applying principles of effective feedback</a:t>
          </a:r>
          <a:endParaRPr lang="en-US" sz="600" kern="1200"/>
        </a:p>
        <a:p>
          <a:pPr marL="57150" lvl="1" indent="-57150" algn="l" defTabSz="266700">
            <a:lnSpc>
              <a:spcPct val="90000"/>
            </a:lnSpc>
            <a:spcBef>
              <a:spcPct val="0"/>
            </a:spcBef>
            <a:spcAft>
              <a:spcPct val="15000"/>
            </a:spcAft>
            <a:buChar char="••"/>
          </a:pPr>
          <a:r>
            <a:rPr lang="en-US" sz="600" kern="1200" smtClean="0"/>
            <a:t>Modelling good professional behaviour</a:t>
          </a:r>
          <a:endParaRPr lang="en-US" sz="600" kern="1200"/>
        </a:p>
        <a:p>
          <a:pPr marL="57150" lvl="1" indent="-57150" algn="l" defTabSz="266700">
            <a:lnSpc>
              <a:spcPct val="90000"/>
            </a:lnSpc>
            <a:spcBef>
              <a:spcPct val="0"/>
            </a:spcBef>
            <a:spcAft>
              <a:spcPct val="15000"/>
            </a:spcAft>
            <a:buChar char="••"/>
          </a:pPr>
          <a:r>
            <a:rPr lang="en-US" sz="600" kern="1200" smtClean="0"/>
            <a:t>Grasping the unexpected teaching moment</a:t>
          </a:r>
          <a:endParaRPr lang="en-US" sz="600" kern="1200"/>
        </a:p>
      </dsp:txBody>
      <dsp:txXfrm>
        <a:off x="3622040" y="780289"/>
        <a:ext cx="2321560" cy="780287"/>
      </dsp:txXfrm>
    </dsp:sp>
    <dsp:sp modelId="{63A43808-7912-482F-A0AE-0195003947FD}">
      <dsp:nvSpPr>
        <dsp:cNvPr id="0" name=""/>
        <dsp:cNvSpPr/>
      </dsp:nvSpPr>
      <dsp:spPr>
        <a:xfrm>
          <a:off x="3622040" y="1560576"/>
          <a:ext cx="2321560" cy="780287"/>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311150">
            <a:lnSpc>
              <a:spcPct val="90000"/>
            </a:lnSpc>
            <a:spcBef>
              <a:spcPct val="0"/>
            </a:spcBef>
            <a:spcAft>
              <a:spcPct val="15000"/>
            </a:spcAft>
            <a:buChar char="••"/>
          </a:pPr>
          <a:r>
            <a:rPr lang="en-US" sz="700" kern="1200" smtClean="0"/>
            <a:t>Time-efficient teaching</a:t>
          </a:r>
          <a:endParaRPr lang="en-US" sz="700" kern="1200"/>
        </a:p>
        <a:p>
          <a:pPr marL="57150" lvl="1" indent="-57150" algn="l" defTabSz="311150">
            <a:lnSpc>
              <a:spcPct val="90000"/>
            </a:lnSpc>
            <a:spcBef>
              <a:spcPct val="0"/>
            </a:spcBef>
            <a:spcAft>
              <a:spcPct val="15000"/>
            </a:spcAft>
            <a:buChar char="••"/>
          </a:pPr>
          <a:r>
            <a:rPr lang="en-US" sz="700" kern="1200" smtClean="0"/>
            <a:t>Inpatient / Outpatient teaching</a:t>
          </a:r>
          <a:endParaRPr lang="en-US" sz="700" kern="1200"/>
        </a:p>
        <a:p>
          <a:pPr marL="57150" lvl="1" indent="-57150" algn="l" defTabSz="311150">
            <a:lnSpc>
              <a:spcPct val="90000"/>
            </a:lnSpc>
            <a:spcBef>
              <a:spcPct val="0"/>
            </a:spcBef>
            <a:spcAft>
              <a:spcPct val="15000"/>
            </a:spcAft>
            <a:buChar char="••"/>
          </a:pPr>
          <a:r>
            <a:rPr lang="en-US" sz="700" kern="1200" smtClean="0"/>
            <a:t>Teaching at bedside</a:t>
          </a:r>
          <a:endParaRPr lang="en-US" sz="700" kern="1200"/>
        </a:p>
        <a:p>
          <a:pPr marL="57150" lvl="1" indent="-57150" algn="l" defTabSz="311150">
            <a:lnSpc>
              <a:spcPct val="90000"/>
            </a:lnSpc>
            <a:spcBef>
              <a:spcPct val="0"/>
            </a:spcBef>
            <a:spcAft>
              <a:spcPct val="15000"/>
            </a:spcAft>
            <a:buChar char="••"/>
          </a:pPr>
          <a:r>
            <a:rPr lang="en-US" sz="700" kern="1200" smtClean="0"/>
            <a:t>Work-based assessment of learners in clinical settings</a:t>
          </a:r>
          <a:endParaRPr lang="en-US" sz="700" kern="1200"/>
        </a:p>
        <a:p>
          <a:pPr marL="57150" lvl="1" indent="-57150" algn="l" defTabSz="311150">
            <a:lnSpc>
              <a:spcPct val="90000"/>
            </a:lnSpc>
            <a:spcBef>
              <a:spcPct val="0"/>
            </a:spcBef>
            <a:spcAft>
              <a:spcPct val="15000"/>
            </a:spcAft>
            <a:buChar char="••"/>
          </a:pPr>
          <a:r>
            <a:rPr lang="en-US" sz="700" kern="1200" smtClean="0"/>
            <a:t>Providing feedback</a:t>
          </a:r>
          <a:endParaRPr lang="en-US" sz="700" kern="1200"/>
        </a:p>
      </dsp:txBody>
      <dsp:txXfrm>
        <a:off x="3622040" y="1560576"/>
        <a:ext cx="2321560" cy="780287"/>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6638-EB2F-431D-B9DD-28631199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12956</Words>
  <Characters>73853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Firstknot</Company>
  <LinksUpToDate>false</LinksUpToDate>
  <CharactersWithSpaces>86636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cp:lastModifiedBy>
  <cp:revision>4</cp:revision>
  <dcterms:created xsi:type="dcterms:W3CDTF">2021-11-10T10:09:00Z</dcterms:created>
  <dcterms:modified xsi:type="dcterms:W3CDTF">2021-11-11T00:06:00Z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LastSaved">
    <vt:filetime>2020-12-13T00:00:00Z</vt:filetime>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bbed3b13-460f-3e0f-b081-262eb2a814e2</vt:lpwstr>
  </property>
  <property fmtid="{D5CDD505-2E9C-101B-9397-08002B2CF9AE}" pid="26" name="Mendeley Citation Style_1">
    <vt:lpwstr>http://www.zotero.org/styles/harvard-cite-them-right</vt:lpwstr>
  </property>
</Properties>
</file>